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Default="0046491C" w:rsidP="00E34F08">
      <w:pPr>
        <w:spacing w:after="0" w:line="360" w:lineRule="auto"/>
        <w:jc w:val="both"/>
        <w:rPr>
          <w:rFonts w:ascii="Palatino Linotype" w:hAnsi="Palatino Linotype" w:cs="Arial"/>
          <w:b/>
          <w:sz w:val="24"/>
          <w:szCs w:val="24"/>
        </w:rPr>
      </w:pPr>
      <w:bookmarkStart w:id="0" w:name="_GoBack"/>
      <w:bookmarkEnd w:id="0"/>
      <w:r w:rsidRPr="00072966">
        <w:rPr>
          <w:rFonts w:ascii="Palatino Linotype" w:hAnsi="Palatino Linotype" w:cs="Arial"/>
          <w:b/>
          <w:sz w:val="24"/>
          <w:szCs w:val="24"/>
        </w:rPr>
        <w:t>VOTO PARTICULAR DEL COMISIONADO JOSÉ GUADA</w:t>
      </w:r>
      <w:r w:rsidR="00D72985" w:rsidRPr="00072966">
        <w:rPr>
          <w:rFonts w:ascii="Palatino Linotype" w:hAnsi="Palatino Linotype" w:cs="Arial"/>
          <w:b/>
          <w:sz w:val="24"/>
          <w:szCs w:val="24"/>
        </w:rPr>
        <w:t>LUPE LUNA HERNÁNDEZ DEL RECURSO</w:t>
      </w:r>
      <w:r w:rsidR="00BF3534" w:rsidRPr="00072966">
        <w:rPr>
          <w:rFonts w:ascii="Palatino Linotype" w:hAnsi="Palatino Linotype" w:cs="Arial"/>
          <w:b/>
          <w:sz w:val="24"/>
          <w:szCs w:val="24"/>
        </w:rPr>
        <w:t xml:space="preserve"> DE REVISIÓN </w:t>
      </w:r>
      <w:r w:rsidR="00CF52FE">
        <w:rPr>
          <w:rFonts w:ascii="Palatino Linotype" w:hAnsi="Palatino Linotype" w:cs="Arial"/>
          <w:b/>
          <w:sz w:val="24"/>
          <w:szCs w:val="24"/>
        </w:rPr>
        <w:t>04</w:t>
      </w:r>
      <w:r w:rsidR="006814FB">
        <w:rPr>
          <w:rFonts w:ascii="Palatino Linotype" w:hAnsi="Palatino Linotype" w:cs="Arial"/>
          <w:b/>
          <w:sz w:val="24"/>
          <w:szCs w:val="24"/>
        </w:rPr>
        <w:t>174</w:t>
      </w:r>
      <w:r w:rsidR="00C7250F" w:rsidRPr="00072966">
        <w:rPr>
          <w:rFonts w:ascii="Palatino Linotype" w:hAnsi="Palatino Linotype" w:cs="Arial"/>
          <w:b/>
          <w:sz w:val="24"/>
          <w:szCs w:val="24"/>
        </w:rPr>
        <w:t>/INFOEM/IP/RR/2018</w:t>
      </w:r>
      <w:r w:rsidR="0000525F" w:rsidRPr="00072966">
        <w:rPr>
          <w:rFonts w:ascii="Palatino Linotype" w:hAnsi="Palatino Linotype" w:cs="Arial"/>
          <w:b/>
          <w:sz w:val="24"/>
          <w:szCs w:val="24"/>
        </w:rPr>
        <w:t>.</w:t>
      </w:r>
    </w:p>
    <w:p w:rsidR="0082452E" w:rsidRPr="00072966" w:rsidRDefault="0082452E" w:rsidP="00E34F08">
      <w:pPr>
        <w:spacing w:after="0" w:line="360" w:lineRule="auto"/>
        <w:jc w:val="both"/>
        <w:rPr>
          <w:rFonts w:ascii="Palatino Linotype" w:hAnsi="Palatino Linotype" w:cs="Arial"/>
          <w:sz w:val="24"/>
          <w:szCs w:val="24"/>
        </w:rPr>
      </w:pPr>
    </w:p>
    <w:p w:rsidR="0046491C" w:rsidRPr="009A5396" w:rsidRDefault="0046491C" w:rsidP="00E34F08">
      <w:pPr>
        <w:spacing w:after="0" w:line="360" w:lineRule="auto"/>
        <w:jc w:val="both"/>
        <w:rPr>
          <w:rFonts w:ascii="Palatino Linotype" w:hAnsi="Palatino Linotype" w:cs="Arial"/>
          <w:b/>
          <w:sz w:val="24"/>
          <w:szCs w:val="24"/>
        </w:rPr>
      </w:pPr>
      <w:r w:rsidRPr="009A5396">
        <w:rPr>
          <w:rFonts w:ascii="Palatino Linotype" w:hAnsi="Palatino Linotype" w:cs="Arial"/>
          <w:b/>
          <w:sz w:val="24"/>
          <w:szCs w:val="24"/>
        </w:rPr>
        <w:t>Líneas argumentativas:</w:t>
      </w:r>
    </w:p>
    <w:p w:rsidR="00902248" w:rsidRPr="009A5396" w:rsidRDefault="00902248" w:rsidP="00E34F08">
      <w:pPr>
        <w:spacing w:after="0" w:line="240" w:lineRule="auto"/>
        <w:jc w:val="both"/>
        <w:rPr>
          <w:rFonts w:ascii="Palatino Linotype" w:hAnsi="Palatino Linotype" w:cs="Arial"/>
          <w:szCs w:val="24"/>
        </w:rPr>
      </w:pPr>
    </w:p>
    <w:p w:rsidR="0046491C" w:rsidRPr="00E259A9" w:rsidRDefault="0046491C" w:rsidP="00E34F08">
      <w:pPr>
        <w:spacing w:after="0" w:line="360" w:lineRule="auto"/>
        <w:jc w:val="both"/>
        <w:rPr>
          <w:rFonts w:ascii="Palatino Linotype" w:hAnsi="Palatino Linotype" w:cs="Arial"/>
          <w:sz w:val="24"/>
          <w:szCs w:val="24"/>
          <w:lang w:val="es-ES_tradnl"/>
        </w:rPr>
      </w:pPr>
      <w:r w:rsidRPr="00E259A9">
        <w:rPr>
          <w:rFonts w:ascii="Palatino Linotype" w:hAnsi="Palatino Linotype" w:cs="Arial"/>
          <w:sz w:val="24"/>
          <w:szCs w:val="24"/>
          <w:lang w:val="es-ES_tradnl"/>
        </w:rPr>
        <w:t>El Órgano Garante del derecho de acceso a la información pública no debe imponerles las cargas formales del proceso jurisdiccional a los particulares.</w:t>
      </w:r>
    </w:p>
    <w:p w:rsidR="0046491C" w:rsidRPr="00E259A9" w:rsidRDefault="0046491C" w:rsidP="00E259A9">
      <w:pPr>
        <w:spacing w:after="0" w:line="360" w:lineRule="auto"/>
        <w:jc w:val="both"/>
        <w:rPr>
          <w:rFonts w:ascii="Palatino Linotype" w:hAnsi="Palatino Linotype" w:cs="Arial"/>
          <w:sz w:val="24"/>
          <w:szCs w:val="24"/>
          <w:lang w:val="es-ES_tradnl"/>
        </w:rPr>
      </w:pPr>
    </w:p>
    <w:p w:rsidR="0046491C" w:rsidRPr="00E259A9" w:rsidRDefault="0046491C" w:rsidP="00E34F08">
      <w:pPr>
        <w:spacing w:after="0" w:line="360" w:lineRule="auto"/>
        <w:jc w:val="both"/>
        <w:rPr>
          <w:rFonts w:ascii="Palatino Linotype" w:hAnsi="Palatino Linotype" w:cs="Arial"/>
          <w:sz w:val="24"/>
          <w:szCs w:val="24"/>
          <w:lang w:val="es-ES_tradnl"/>
        </w:rPr>
      </w:pPr>
      <w:r w:rsidRPr="00E259A9">
        <w:rPr>
          <w:rFonts w:ascii="Palatino Linotype" w:hAnsi="Palatino Linotype" w:cs="Arial"/>
          <w:sz w:val="24"/>
          <w:szCs w:val="24"/>
          <w:lang w:val="es-ES_tradnl"/>
        </w:rPr>
        <w:t>Lo que este Órgano Garante realice en materia de suplencia de la queja no afecta la igualdad de las partes sino procura el cumplimiento de los deberes de protección del derecho humano.</w:t>
      </w:r>
    </w:p>
    <w:p w:rsidR="0046491C" w:rsidRPr="00E259A9" w:rsidRDefault="0046491C" w:rsidP="00E259A9">
      <w:pPr>
        <w:spacing w:after="0" w:line="360" w:lineRule="auto"/>
        <w:jc w:val="both"/>
        <w:rPr>
          <w:rFonts w:ascii="Palatino Linotype" w:hAnsi="Palatino Linotype" w:cs="Arial"/>
          <w:sz w:val="24"/>
          <w:szCs w:val="24"/>
          <w:lang w:val="es-ES_tradnl"/>
        </w:rPr>
      </w:pPr>
    </w:p>
    <w:p w:rsidR="0046491C" w:rsidRPr="00E259A9" w:rsidRDefault="0046491C" w:rsidP="00E34F08">
      <w:pPr>
        <w:spacing w:after="0" w:line="360" w:lineRule="auto"/>
        <w:jc w:val="both"/>
        <w:rPr>
          <w:rFonts w:ascii="Palatino Linotype" w:hAnsi="Palatino Linotype" w:cs="Arial"/>
          <w:sz w:val="24"/>
          <w:szCs w:val="24"/>
          <w:lang w:val="es-ES_tradnl"/>
        </w:rPr>
      </w:pPr>
      <w:r w:rsidRPr="00E259A9">
        <w:rPr>
          <w:rFonts w:ascii="Palatino Linotype" w:hAnsi="Palatino Linotype" w:cs="Arial"/>
          <w:sz w:val="24"/>
          <w:szCs w:val="24"/>
          <w:lang w:val="es-ES_tradnl"/>
        </w:rPr>
        <w:t>Los órganos del Estado, tienen el deber que tienen dentro del margen de sus atribuciones, de prevenir violaciones a los derechos fundamentales.</w:t>
      </w:r>
    </w:p>
    <w:p w:rsidR="00702BD9" w:rsidRDefault="00702BD9" w:rsidP="00E34F08">
      <w:pPr>
        <w:spacing w:after="0" w:line="360" w:lineRule="auto"/>
        <w:jc w:val="both"/>
        <w:rPr>
          <w:rFonts w:ascii="Palatino Linotype" w:hAnsi="Palatino Linotype" w:cs="Arial"/>
          <w:sz w:val="24"/>
          <w:szCs w:val="24"/>
        </w:rPr>
      </w:pPr>
    </w:p>
    <w:p w:rsidR="00E259A9" w:rsidRPr="001C3BD8" w:rsidRDefault="00E259A9" w:rsidP="00E259A9">
      <w:pPr>
        <w:spacing w:after="0" w:line="360" w:lineRule="auto"/>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Para que el Sujeto Obligado determine clasificar la información como reservada, es necesario que éste actualice cuatro requisitos, de los cuales, si alguno de estos faltase, no es procedente su reserva, para esto, es menester que se realice un estudio minucioso de la información, ajustando en todo momento las circunstancias de modo tiempo y lugar a la hipótesis que configura la clasificación. </w:t>
      </w:r>
    </w:p>
    <w:p w:rsidR="00E259A9" w:rsidRDefault="00E259A9" w:rsidP="00E34F08">
      <w:pPr>
        <w:spacing w:after="0" w:line="360" w:lineRule="auto"/>
        <w:jc w:val="both"/>
        <w:rPr>
          <w:rFonts w:ascii="Palatino Linotype" w:hAnsi="Palatino Linotype" w:cs="Arial"/>
          <w:sz w:val="24"/>
          <w:szCs w:val="24"/>
        </w:rPr>
      </w:pPr>
    </w:p>
    <w:p w:rsidR="00923FD9" w:rsidRDefault="00923FD9" w:rsidP="00E34F08">
      <w:pPr>
        <w:spacing w:after="0" w:line="360" w:lineRule="auto"/>
        <w:jc w:val="both"/>
        <w:rPr>
          <w:rFonts w:ascii="Palatino Linotype" w:hAnsi="Palatino Linotype" w:cs="Arial"/>
          <w:sz w:val="24"/>
          <w:szCs w:val="24"/>
        </w:rPr>
      </w:pPr>
      <w:r>
        <w:rPr>
          <w:rFonts w:ascii="Palatino Linotype" w:hAnsi="Palatino Linotype" w:cs="Arial"/>
          <w:sz w:val="24"/>
          <w:szCs w:val="24"/>
        </w:rPr>
        <w:t>Se deberá de garantizar el derecho de acceso a la información pública, cuando esta no invada las funciones primordiales del actuar del Sujeto Obligado</w:t>
      </w:r>
    </w:p>
    <w:p w:rsidR="0046491C" w:rsidRPr="00923FD9" w:rsidRDefault="0046491C" w:rsidP="00E34F08">
      <w:pPr>
        <w:spacing w:after="0" w:line="360" w:lineRule="auto"/>
        <w:jc w:val="both"/>
        <w:rPr>
          <w:rFonts w:ascii="Palatino Linotype" w:hAnsi="Palatino Linotype" w:cs="Arial"/>
          <w:sz w:val="30"/>
          <w:szCs w:val="30"/>
        </w:rPr>
      </w:pPr>
      <w:r w:rsidRPr="00923FD9">
        <w:rPr>
          <w:rFonts w:ascii="Palatino Linotype" w:hAnsi="Palatino Linotype" w:cs="Arial"/>
          <w:b/>
          <w:sz w:val="30"/>
          <w:szCs w:val="30"/>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923FD9" w:rsidRDefault="0046491C" w:rsidP="00923FD9">
          <w:pPr>
            <w:pStyle w:val="TtulodeTDC"/>
            <w:spacing w:line="240" w:lineRule="auto"/>
            <w:rPr>
              <w:rFonts w:ascii="Palatino Linotype" w:hAnsi="Palatino Linotype"/>
              <w:sz w:val="8"/>
            </w:rPr>
          </w:pPr>
        </w:p>
        <w:p w:rsidR="006A7892" w:rsidRPr="00923FD9" w:rsidRDefault="0046491C">
          <w:pPr>
            <w:pStyle w:val="TDC1"/>
            <w:rPr>
              <w:rFonts w:eastAsiaTheme="minorEastAsia"/>
              <w:noProof/>
              <w:sz w:val="24"/>
              <w:lang w:eastAsia="es-MX"/>
            </w:rPr>
          </w:pPr>
          <w:r w:rsidRPr="00923FD9">
            <w:rPr>
              <w:rFonts w:ascii="Palatino Linotype" w:hAnsi="Palatino Linotype"/>
              <w:sz w:val="24"/>
            </w:rPr>
            <w:fldChar w:fldCharType="begin"/>
          </w:r>
          <w:r w:rsidRPr="00923FD9">
            <w:rPr>
              <w:rFonts w:ascii="Palatino Linotype" w:hAnsi="Palatino Linotype"/>
              <w:sz w:val="24"/>
            </w:rPr>
            <w:instrText xml:space="preserve"> TOC \o "1-3" \h \z \u </w:instrText>
          </w:r>
          <w:r w:rsidRPr="00923FD9">
            <w:rPr>
              <w:rFonts w:ascii="Palatino Linotype" w:hAnsi="Palatino Linotype"/>
              <w:sz w:val="24"/>
            </w:rPr>
            <w:fldChar w:fldCharType="separate"/>
          </w:r>
          <w:hyperlink w:anchor="_Toc535830534" w:history="1">
            <w:r w:rsidR="006A7892" w:rsidRPr="00923FD9">
              <w:rPr>
                <w:rStyle w:val="Hipervnculo"/>
                <w:rFonts w:ascii="Palatino Linotype" w:hAnsi="Palatino Linotype"/>
                <w:b/>
                <w:noProof/>
                <w:sz w:val="24"/>
              </w:rPr>
              <w:t>I.</w:t>
            </w:r>
            <w:r w:rsidR="006A7892" w:rsidRPr="00923FD9">
              <w:rPr>
                <w:rFonts w:eastAsiaTheme="minorEastAsia"/>
                <w:noProof/>
                <w:sz w:val="24"/>
                <w:lang w:eastAsia="es-MX"/>
              </w:rPr>
              <w:tab/>
            </w:r>
            <w:r w:rsidR="006A7892" w:rsidRPr="00923FD9">
              <w:rPr>
                <w:rStyle w:val="Hipervnculo"/>
                <w:rFonts w:ascii="Palatino Linotype" w:hAnsi="Palatino Linotype"/>
                <w:b/>
                <w:noProof/>
                <w:sz w:val="24"/>
              </w:rPr>
              <w:t>Consideraciones Generales.</w:t>
            </w:r>
            <w:r w:rsidR="006A7892" w:rsidRPr="00923FD9">
              <w:rPr>
                <w:noProof/>
                <w:webHidden/>
                <w:sz w:val="24"/>
              </w:rPr>
              <w:tab/>
            </w:r>
            <w:r w:rsidR="006A7892" w:rsidRPr="00923FD9">
              <w:rPr>
                <w:noProof/>
                <w:webHidden/>
                <w:sz w:val="24"/>
              </w:rPr>
              <w:fldChar w:fldCharType="begin"/>
            </w:r>
            <w:r w:rsidR="006A7892" w:rsidRPr="00923FD9">
              <w:rPr>
                <w:noProof/>
                <w:webHidden/>
                <w:sz w:val="24"/>
              </w:rPr>
              <w:instrText xml:space="preserve"> PAGEREF _Toc535830534 \h </w:instrText>
            </w:r>
            <w:r w:rsidR="006A7892" w:rsidRPr="00923FD9">
              <w:rPr>
                <w:noProof/>
                <w:webHidden/>
                <w:sz w:val="24"/>
              </w:rPr>
            </w:r>
            <w:r w:rsidR="006A7892" w:rsidRPr="00923FD9">
              <w:rPr>
                <w:noProof/>
                <w:webHidden/>
                <w:sz w:val="24"/>
              </w:rPr>
              <w:fldChar w:fldCharType="separate"/>
            </w:r>
            <w:r w:rsidR="00874AED">
              <w:rPr>
                <w:noProof/>
                <w:webHidden/>
                <w:sz w:val="24"/>
              </w:rPr>
              <w:t>3</w:t>
            </w:r>
            <w:r w:rsidR="006A7892" w:rsidRPr="00923FD9">
              <w:rPr>
                <w:noProof/>
                <w:webHidden/>
                <w:sz w:val="24"/>
              </w:rPr>
              <w:fldChar w:fldCharType="end"/>
            </w:r>
          </w:hyperlink>
        </w:p>
        <w:p w:rsidR="006A7892" w:rsidRPr="00923FD9" w:rsidRDefault="003E3CF0">
          <w:pPr>
            <w:pStyle w:val="TDC1"/>
            <w:rPr>
              <w:rFonts w:eastAsiaTheme="minorEastAsia"/>
              <w:noProof/>
              <w:sz w:val="24"/>
              <w:lang w:eastAsia="es-MX"/>
            </w:rPr>
          </w:pPr>
          <w:hyperlink w:anchor="_Toc535830535" w:history="1">
            <w:r w:rsidR="006A7892" w:rsidRPr="00923FD9">
              <w:rPr>
                <w:rStyle w:val="Hipervnculo"/>
                <w:rFonts w:ascii="Palatino Linotype" w:hAnsi="Palatino Linotype"/>
                <w:b/>
                <w:noProof/>
                <w:sz w:val="24"/>
              </w:rPr>
              <w:t>II.</w:t>
            </w:r>
            <w:r w:rsidR="006A7892" w:rsidRPr="00923FD9">
              <w:rPr>
                <w:rFonts w:eastAsiaTheme="minorEastAsia"/>
                <w:noProof/>
                <w:sz w:val="24"/>
                <w:lang w:eastAsia="es-MX"/>
              </w:rPr>
              <w:tab/>
            </w:r>
            <w:r w:rsidR="006A7892" w:rsidRPr="00923FD9">
              <w:rPr>
                <w:rStyle w:val="Hipervnculo"/>
                <w:rFonts w:ascii="Palatino Linotype" w:hAnsi="Palatino Linotype"/>
                <w:b/>
                <w:noProof/>
                <w:sz w:val="24"/>
              </w:rPr>
              <w:t>De los requerimientos planteados en el recurso de revisión.</w:t>
            </w:r>
            <w:r w:rsidR="006A7892" w:rsidRPr="00923FD9">
              <w:rPr>
                <w:noProof/>
                <w:webHidden/>
                <w:sz w:val="24"/>
              </w:rPr>
              <w:tab/>
            </w:r>
            <w:r w:rsidR="006A7892" w:rsidRPr="00923FD9">
              <w:rPr>
                <w:noProof/>
                <w:webHidden/>
                <w:sz w:val="24"/>
              </w:rPr>
              <w:fldChar w:fldCharType="begin"/>
            </w:r>
            <w:r w:rsidR="006A7892" w:rsidRPr="00923FD9">
              <w:rPr>
                <w:noProof/>
                <w:webHidden/>
                <w:sz w:val="24"/>
              </w:rPr>
              <w:instrText xml:space="preserve"> PAGEREF _Toc535830535 \h </w:instrText>
            </w:r>
            <w:r w:rsidR="006A7892" w:rsidRPr="00923FD9">
              <w:rPr>
                <w:noProof/>
                <w:webHidden/>
                <w:sz w:val="24"/>
              </w:rPr>
            </w:r>
            <w:r w:rsidR="006A7892" w:rsidRPr="00923FD9">
              <w:rPr>
                <w:noProof/>
                <w:webHidden/>
                <w:sz w:val="24"/>
              </w:rPr>
              <w:fldChar w:fldCharType="separate"/>
            </w:r>
            <w:r w:rsidR="00874AED">
              <w:rPr>
                <w:noProof/>
                <w:webHidden/>
                <w:sz w:val="24"/>
              </w:rPr>
              <w:t>4</w:t>
            </w:r>
            <w:r w:rsidR="006A7892" w:rsidRPr="00923FD9">
              <w:rPr>
                <w:noProof/>
                <w:webHidden/>
                <w:sz w:val="24"/>
              </w:rPr>
              <w:fldChar w:fldCharType="end"/>
            </w:r>
          </w:hyperlink>
        </w:p>
        <w:p w:rsidR="006A7892" w:rsidRPr="00923FD9" w:rsidRDefault="003E3CF0">
          <w:pPr>
            <w:pStyle w:val="TDC1"/>
            <w:rPr>
              <w:rFonts w:eastAsiaTheme="minorEastAsia"/>
              <w:noProof/>
              <w:sz w:val="24"/>
              <w:lang w:eastAsia="es-MX"/>
            </w:rPr>
          </w:pPr>
          <w:hyperlink w:anchor="_Toc535830536" w:history="1">
            <w:r w:rsidR="006A7892" w:rsidRPr="00923FD9">
              <w:rPr>
                <w:rStyle w:val="Hipervnculo"/>
                <w:rFonts w:ascii="Palatino Linotype" w:hAnsi="Palatino Linotype" w:cs="Arial"/>
                <w:b/>
                <w:noProof/>
                <w:sz w:val="24"/>
                <w:lang w:val="es-ES_tradnl"/>
              </w:rPr>
              <w:t>III.</w:t>
            </w:r>
            <w:r w:rsidR="006A7892" w:rsidRPr="00923FD9">
              <w:rPr>
                <w:rFonts w:eastAsiaTheme="minorEastAsia"/>
                <w:noProof/>
                <w:sz w:val="24"/>
                <w:lang w:eastAsia="es-MX"/>
              </w:rPr>
              <w:tab/>
            </w:r>
            <w:r w:rsidR="006A7892" w:rsidRPr="00923FD9">
              <w:rPr>
                <w:rStyle w:val="Hipervnculo"/>
                <w:rFonts w:ascii="Palatino Linotype" w:hAnsi="Palatino Linotype"/>
                <w:b/>
                <w:noProof/>
                <w:sz w:val="24"/>
              </w:rPr>
              <w:t>Efectos</w:t>
            </w:r>
            <w:r w:rsidR="006A7892" w:rsidRPr="00923FD9">
              <w:rPr>
                <w:rStyle w:val="Hipervnculo"/>
                <w:rFonts w:ascii="Palatino Linotype" w:hAnsi="Palatino Linotype" w:cs="Arial"/>
                <w:b/>
                <w:noProof/>
                <w:sz w:val="24"/>
                <w:lang w:val="es-ES_tradnl"/>
              </w:rPr>
              <w:t xml:space="preserve"> de la clasificación de información.</w:t>
            </w:r>
            <w:r w:rsidR="006A7892" w:rsidRPr="00923FD9">
              <w:rPr>
                <w:noProof/>
                <w:webHidden/>
                <w:sz w:val="24"/>
              </w:rPr>
              <w:tab/>
            </w:r>
            <w:r w:rsidR="006A7892" w:rsidRPr="00923FD9">
              <w:rPr>
                <w:noProof/>
                <w:webHidden/>
                <w:sz w:val="24"/>
              </w:rPr>
              <w:fldChar w:fldCharType="begin"/>
            </w:r>
            <w:r w:rsidR="006A7892" w:rsidRPr="00923FD9">
              <w:rPr>
                <w:noProof/>
                <w:webHidden/>
                <w:sz w:val="24"/>
              </w:rPr>
              <w:instrText xml:space="preserve"> PAGEREF _Toc535830536 \h </w:instrText>
            </w:r>
            <w:r w:rsidR="006A7892" w:rsidRPr="00923FD9">
              <w:rPr>
                <w:noProof/>
                <w:webHidden/>
                <w:sz w:val="24"/>
              </w:rPr>
            </w:r>
            <w:r w:rsidR="006A7892" w:rsidRPr="00923FD9">
              <w:rPr>
                <w:noProof/>
                <w:webHidden/>
                <w:sz w:val="24"/>
              </w:rPr>
              <w:fldChar w:fldCharType="separate"/>
            </w:r>
            <w:r w:rsidR="00874AED">
              <w:rPr>
                <w:noProof/>
                <w:webHidden/>
                <w:sz w:val="24"/>
              </w:rPr>
              <w:t>5</w:t>
            </w:r>
            <w:r w:rsidR="006A7892" w:rsidRPr="00923FD9">
              <w:rPr>
                <w:noProof/>
                <w:webHidden/>
                <w:sz w:val="24"/>
              </w:rPr>
              <w:fldChar w:fldCharType="end"/>
            </w:r>
          </w:hyperlink>
        </w:p>
        <w:p w:rsidR="006A7892" w:rsidRPr="00923FD9" w:rsidRDefault="00923FD9">
          <w:pPr>
            <w:pStyle w:val="TDC1"/>
            <w:rPr>
              <w:rFonts w:eastAsiaTheme="minorEastAsia"/>
              <w:noProof/>
              <w:sz w:val="24"/>
              <w:lang w:eastAsia="es-MX"/>
            </w:rPr>
          </w:pPr>
          <w:r w:rsidRPr="00923FD9">
            <w:rPr>
              <w:rFonts w:ascii="Palatino Linotype" w:hAnsi="Palatino Linotype"/>
              <w:b/>
              <w:bCs/>
              <w:noProof/>
              <w:sz w:val="24"/>
              <w:lang w:eastAsia="es-MX"/>
            </w:rPr>
            <mc:AlternateContent>
              <mc:Choice Requires="wps">
                <w:drawing>
                  <wp:anchor distT="0" distB="0" distL="114300" distR="114300" simplePos="0" relativeHeight="251659264" behindDoc="0" locked="0" layoutInCell="1" allowOverlap="1">
                    <wp:simplePos x="0" y="0"/>
                    <wp:positionH relativeFrom="column">
                      <wp:posOffset>56687</wp:posOffset>
                    </wp:positionH>
                    <wp:positionV relativeFrom="paragraph">
                      <wp:posOffset>346659</wp:posOffset>
                    </wp:positionV>
                    <wp:extent cx="5399714" cy="4917680"/>
                    <wp:effectExtent l="19050" t="19050" r="29845" b="35560"/>
                    <wp:wrapNone/>
                    <wp:docPr id="1" name="Conector recto 1"/>
                    <wp:cNvGraphicFramePr/>
                    <a:graphic xmlns:a="http://schemas.openxmlformats.org/drawingml/2006/main">
                      <a:graphicData uri="http://schemas.microsoft.com/office/word/2010/wordprocessingShape">
                        <wps:wsp>
                          <wps:cNvCnPr/>
                          <wps:spPr>
                            <a:xfrm>
                              <a:off x="0" y="0"/>
                              <a:ext cx="5399714" cy="491768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10056"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27.3pt" to="429.6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" strokecolor="#5b9bd5 [3204]" strokeweight="2.25pt">
                    <v:stroke joinstyle="miter"/>
                  </v:line>
                </w:pict>
              </mc:Fallback>
            </mc:AlternateContent>
          </w:r>
          <w:hyperlink w:anchor="_Toc535830537" w:history="1">
            <w:r w:rsidR="006A7892" w:rsidRPr="00923FD9">
              <w:rPr>
                <w:rStyle w:val="Hipervnculo"/>
                <w:rFonts w:ascii="Palatino Linotype" w:hAnsi="Palatino Linotype"/>
                <w:b/>
                <w:noProof/>
                <w:sz w:val="24"/>
              </w:rPr>
              <w:t>IV.</w:t>
            </w:r>
            <w:r w:rsidR="006A7892" w:rsidRPr="00923FD9">
              <w:rPr>
                <w:rFonts w:eastAsiaTheme="minorEastAsia"/>
                <w:noProof/>
                <w:sz w:val="24"/>
                <w:lang w:eastAsia="es-MX"/>
              </w:rPr>
              <w:tab/>
            </w:r>
            <w:r w:rsidR="006A7892" w:rsidRPr="00923FD9">
              <w:rPr>
                <w:rStyle w:val="Hipervnculo"/>
                <w:rFonts w:ascii="Palatino Linotype" w:hAnsi="Palatino Linotype"/>
                <w:b/>
                <w:noProof/>
                <w:sz w:val="24"/>
              </w:rPr>
              <w:t>De la información que no es susceptible de clasificarse.</w:t>
            </w:r>
            <w:r w:rsidR="006A7892" w:rsidRPr="00923FD9">
              <w:rPr>
                <w:noProof/>
                <w:webHidden/>
                <w:sz w:val="24"/>
              </w:rPr>
              <w:tab/>
            </w:r>
            <w:r w:rsidR="006A7892" w:rsidRPr="00923FD9">
              <w:rPr>
                <w:noProof/>
                <w:webHidden/>
                <w:sz w:val="24"/>
              </w:rPr>
              <w:fldChar w:fldCharType="begin"/>
            </w:r>
            <w:r w:rsidR="006A7892" w:rsidRPr="00923FD9">
              <w:rPr>
                <w:noProof/>
                <w:webHidden/>
                <w:sz w:val="24"/>
              </w:rPr>
              <w:instrText xml:space="preserve"> PAGEREF _Toc535830537 \h </w:instrText>
            </w:r>
            <w:r w:rsidR="006A7892" w:rsidRPr="00923FD9">
              <w:rPr>
                <w:noProof/>
                <w:webHidden/>
                <w:sz w:val="24"/>
              </w:rPr>
            </w:r>
            <w:r w:rsidR="006A7892" w:rsidRPr="00923FD9">
              <w:rPr>
                <w:noProof/>
                <w:webHidden/>
                <w:sz w:val="24"/>
              </w:rPr>
              <w:fldChar w:fldCharType="separate"/>
            </w:r>
            <w:r w:rsidR="00874AED">
              <w:rPr>
                <w:noProof/>
                <w:webHidden/>
                <w:sz w:val="24"/>
              </w:rPr>
              <w:t>8</w:t>
            </w:r>
            <w:r w:rsidR="006A7892" w:rsidRPr="00923FD9">
              <w:rPr>
                <w:noProof/>
                <w:webHidden/>
                <w:sz w:val="24"/>
              </w:rPr>
              <w:fldChar w:fldCharType="end"/>
            </w:r>
          </w:hyperlink>
        </w:p>
        <w:p w:rsidR="00072966" w:rsidRPr="000A4B02" w:rsidRDefault="0046491C" w:rsidP="000A4B02">
          <w:pPr>
            <w:spacing w:line="360" w:lineRule="auto"/>
            <w:rPr>
              <w:rFonts w:ascii="Palatino Linotype" w:hAnsi="Palatino Linotype"/>
            </w:rPr>
          </w:pPr>
          <w:r w:rsidRPr="00923FD9">
            <w:rPr>
              <w:rFonts w:ascii="Palatino Linotype" w:hAnsi="Palatino Linotype"/>
              <w:b/>
              <w:bCs/>
              <w:sz w:val="24"/>
              <w:lang w:val="es-ES"/>
            </w:rPr>
            <w:fldChar w:fldCharType="end"/>
          </w:r>
        </w:p>
      </w:sdtContent>
    </w:sdt>
    <w:p w:rsidR="00702BD9" w:rsidRDefault="00702BD9" w:rsidP="00702BD9"/>
    <w:p w:rsidR="000A4B02" w:rsidRDefault="000A4B02" w:rsidP="00702BD9"/>
    <w:p w:rsidR="000A4B02" w:rsidRDefault="000A4B02" w:rsidP="00702BD9"/>
    <w:p w:rsidR="000A4B02" w:rsidRDefault="000A4B02" w:rsidP="00702BD9"/>
    <w:p w:rsidR="000A4B02" w:rsidRDefault="000A4B02" w:rsidP="00702BD9"/>
    <w:p w:rsidR="000A4B02" w:rsidRDefault="000A4B02" w:rsidP="00702BD9"/>
    <w:p w:rsidR="000A4B02" w:rsidRDefault="000A4B02" w:rsidP="00702BD9"/>
    <w:p w:rsidR="000A4B02" w:rsidRDefault="000A4B02" w:rsidP="00702BD9"/>
    <w:p w:rsidR="00E259A9" w:rsidRDefault="00E259A9" w:rsidP="00702BD9"/>
    <w:p w:rsidR="00E259A9" w:rsidRDefault="00E259A9" w:rsidP="00702BD9"/>
    <w:p w:rsidR="00E259A9" w:rsidRDefault="00E259A9" w:rsidP="00702BD9"/>
    <w:p w:rsidR="000A4B02" w:rsidRDefault="000A4B02" w:rsidP="00702BD9"/>
    <w:p w:rsidR="00E259A9" w:rsidRDefault="00E259A9" w:rsidP="00702BD9"/>
    <w:p w:rsidR="00E259A9" w:rsidRDefault="00E259A9" w:rsidP="00702BD9"/>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1" w:name="_Toc535830534"/>
      <w:r w:rsidRPr="00072966">
        <w:rPr>
          <w:rFonts w:ascii="Palatino Linotype" w:hAnsi="Palatino Linotype"/>
          <w:b/>
          <w:color w:val="auto"/>
          <w:sz w:val="24"/>
          <w:szCs w:val="24"/>
        </w:rPr>
        <w:lastRenderedPageBreak/>
        <w:t>Consideraciones Generales.</w:t>
      </w:r>
      <w:bookmarkEnd w:id="1"/>
    </w:p>
    <w:p w:rsidR="0046491C" w:rsidRPr="000A4B02" w:rsidRDefault="0046491C" w:rsidP="000A4B02">
      <w:pPr>
        <w:pStyle w:val="Prrafodelista"/>
        <w:spacing w:after="0" w:line="240" w:lineRule="auto"/>
        <w:ind w:left="1080"/>
        <w:jc w:val="both"/>
        <w:rPr>
          <w:rFonts w:ascii="Palatino Linotype" w:hAnsi="Palatino Linotype" w:cs="Arial"/>
          <w:b/>
          <w:sz w:val="18"/>
          <w:szCs w:val="24"/>
        </w:rPr>
      </w:pPr>
    </w:p>
    <w:p w:rsidR="009A5396" w:rsidRPr="00BA337F" w:rsidRDefault="0046491C" w:rsidP="006814FB">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eastAsia="Times New Roman" w:hAnsi="Palatino Linotype" w:cs="Arial"/>
          <w:sz w:val="24"/>
          <w:szCs w:val="24"/>
          <w:lang w:val="es-ES_tradnl"/>
        </w:rPr>
        <w:t xml:space="preserve">He </w:t>
      </w:r>
      <w:r w:rsidRPr="006814FB">
        <w:rPr>
          <w:rFonts w:ascii="Palatino Linotype" w:hAnsi="Palatino Linotype" w:cs="Arial"/>
          <w:sz w:val="24"/>
          <w:szCs w:val="24"/>
        </w:rPr>
        <w:t>concurrido</w:t>
      </w:r>
      <w:r w:rsidRPr="00072966">
        <w:rPr>
          <w:rFonts w:ascii="Palatino Linotype" w:eastAsia="Times New Roman" w:hAnsi="Palatino Linotype" w:cs="Arial"/>
          <w:sz w:val="24"/>
          <w:szCs w:val="24"/>
          <w:lang w:val="es-ES_tradnl"/>
        </w:rPr>
        <w:t xml:space="preserve"> </w:t>
      </w:r>
      <w:r w:rsidRPr="00DD7431">
        <w:rPr>
          <w:rFonts w:ascii="Palatino Linotype" w:eastAsia="Arial Unicode MS" w:hAnsi="Palatino Linotype" w:cs="Arial"/>
          <w:sz w:val="24"/>
          <w:szCs w:val="24"/>
          <w:bdr w:val="nil"/>
          <w:lang w:val="es-ES_tradnl"/>
        </w:rPr>
        <w:t>con</w:t>
      </w:r>
      <w:r w:rsidRPr="00072966">
        <w:rPr>
          <w:rFonts w:ascii="Palatino Linotype" w:eastAsia="Times New Roman" w:hAnsi="Palatino Linotype" w:cs="Arial"/>
          <w:sz w:val="24"/>
          <w:szCs w:val="24"/>
          <w:lang w:val="es-ES_tradnl"/>
        </w:rPr>
        <w:t xml:space="preserve"> mi </w:t>
      </w:r>
      <w:r w:rsidR="00D33AF9" w:rsidRPr="00072966">
        <w:rPr>
          <w:rFonts w:ascii="Palatino Linotype" w:eastAsia="Times New Roman" w:hAnsi="Palatino Linotype" w:cs="Arial"/>
          <w:sz w:val="24"/>
          <w:szCs w:val="24"/>
          <w:lang w:val="es-ES_tradnl"/>
        </w:rPr>
        <w:t>voto</w:t>
      </w:r>
      <w:r w:rsidRPr="00072966">
        <w:rPr>
          <w:rFonts w:ascii="Palatino Linotype" w:eastAsia="Times New Roman" w:hAnsi="Palatino Linotype" w:cs="Arial"/>
          <w:sz w:val="24"/>
          <w:szCs w:val="24"/>
          <w:lang w:val="es-ES_tradnl"/>
        </w:rPr>
        <w:t xml:space="preserve"> particular de la presente resolución emitida </w:t>
      </w:r>
      <w:r w:rsidRPr="00072966">
        <w:rPr>
          <w:rFonts w:ascii="Palatino Linotype" w:hAnsi="Palatino Linotype" w:cs="Arial"/>
          <w:sz w:val="24"/>
          <w:szCs w:val="24"/>
        </w:rPr>
        <w:t>por el Pleno del Instituto de Transparencia, Acceso a la Información Pública y Protección de Datos Personales del Estado de Méxi</w:t>
      </w:r>
      <w:r w:rsidR="002C1F75" w:rsidRPr="00072966">
        <w:rPr>
          <w:rFonts w:ascii="Palatino Linotype" w:hAnsi="Palatino Linotype" w:cs="Arial"/>
          <w:sz w:val="24"/>
          <w:szCs w:val="24"/>
        </w:rPr>
        <w:t>co y Municipios, en su</w:t>
      </w:r>
      <w:r w:rsidR="000D1743">
        <w:rPr>
          <w:rFonts w:ascii="Palatino Linotype" w:hAnsi="Palatino Linotype" w:cs="Arial"/>
          <w:sz w:val="24"/>
          <w:szCs w:val="24"/>
        </w:rPr>
        <w:t xml:space="preserve"> </w:t>
      </w:r>
      <w:r w:rsidR="00E259A9">
        <w:rPr>
          <w:rFonts w:ascii="Palatino Linotype" w:hAnsi="Palatino Linotype" w:cs="Arial"/>
          <w:sz w:val="24"/>
          <w:szCs w:val="24"/>
        </w:rPr>
        <w:t>Segunda</w:t>
      </w:r>
      <w:r w:rsidR="00817341">
        <w:rPr>
          <w:rFonts w:ascii="Palatino Linotype" w:hAnsi="Palatino Linotype" w:cs="Arial"/>
          <w:sz w:val="24"/>
          <w:szCs w:val="24"/>
        </w:rPr>
        <w:t xml:space="preserve"> </w:t>
      </w:r>
      <w:r w:rsidRPr="00072966">
        <w:rPr>
          <w:rFonts w:ascii="Palatino Linotype" w:hAnsi="Palatino Linotype" w:cs="Arial"/>
          <w:sz w:val="24"/>
          <w:szCs w:val="24"/>
        </w:rPr>
        <w:t xml:space="preserve">sesión ordinaria </w:t>
      </w:r>
      <w:r w:rsidR="00C7250F" w:rsidRPr="00072966">
        <w:rPr>
          <w:rFonts w:ascii="Palatino Linotype" w:hAnsi="Palatino Linotype" w:cs="Arial"/>
          <w:sz w:val="24"/>
          <w:szCs w:val="24"/>
        </w:rPr>
        <w:t xml:space="preserve">de fecha </w:t>
      </w:r>
      <w:r w:rsidR="00E259A9">
        <w:rPr>
          <w:rFonts w:ascii="Palatino Linotype" w:hAnsi="Palatino Linotype" w:cs="Arial"/>
          <w:sz w:val="24"/>
          <w:szCs w:val="24"/>
        </w:rPr>
        <w:t>dieciséis (16</w:t>
      </w:r>
      <w:r w:rsidR="00225026" w:rsidRPr="00072966">
        <w:rPr>
          <w:rFonts w:ascii="Palatino Linotype" w:hAnsi="Palatino Linotype" w:cs="Arial"/>
          <w:sz w:val="24"/>
          <w:szCs w:val="24"/>
        </w:rPr>
        <w:t xml:space="preserve">) de </w:t>
      </w:r>
      <w:r w:rsidR="00347624">
        <w:rPr>
          <w:rFonts w:ascii="Palatino Linotype" w:hAnsi="Palatino Linotype" w:cs="Arial"/>
          <w:sz w:val="24"/>
          <w:szCs w:val="24"/>
        </w:rPr>
        <w:t>enero</w:t>
      </w:r>
      <w:r w:rsidR="00C7250F" w:rsidRPr="00072966">
        <w:rPr>
          <w:rFonts w:ascii="Palatino Linotype" w:hAnsi="Palatino Linotype" w:cs="Arial"/>
          <w:sz w:val="24"/>
          <w:szCs w:val="24"/>
        </w:rPr>
        <w:t xml:space="preserve"> </w:t>
      </w:r>
      <w:r w:rsidR="0076241F" w:rsidRPr="00072966">
        <w:rPr>
          <w:rFonts w:ascii="Palatino Linotype" w:hAnsi="Palatino Linotype" w:cs="Arial"/>
          <w:sz w:val="24"/>
          <w:szCs w:val="24"/>
        </w:rPr>
        <w:t>de dos mil dieci</w:t>
      </w:r>
      <w:r w:rsidR="00347624">
        <w:rPr>
          <w:rFonts w:ascii="Palatino Linotype" w:hAnsi="Palatino Linotype" w:cs="Arial"/>
          <w:sz w:val="24"/>
          <w:szCs w:val="24"/>
        </w:rPr>
        <w:t>nueve</w:t>
      </w:r>
      <w:r w:rsidRPr="00072966">
        <w:rPr>
          <w:rFonts w:ascii="Palatino Linotype" w:hAnsi="Palatino Linotype" w:cs="Arial"/>
          <w:sz w:val="24"/>
          <w:szCs w:val="24"/>
        </w:rPr>
        <w:t>, en el recurso</w:t>
      </w:r>
      <w:r w:rsidR="002C1F75" w:rsidRPr="00072966">
        <w:rPr>
          <w:rFonts w:ascii="Palatino Linotype" w:hAnsi="Palatino Linotype" w:cs="Arial"/>
          <w:sz w:val="24"/>
          <w:szCs w:val="24"/>
        </w:rPr>
        <w:t xml:space="preserve"> de revisión promovido</w:t>
      </w:r>
      <w:r w:rsidRPr="00072966">
        <w:rPr>
          <w:rFonts w:ascii="Palatino Linotype" w:hAnsi="Palatino Linotype" w:cs="Arial"/>
          <w:sz w:val="24"/>
          <w:szCs w:val="24"/>
        </w:rPr>
        <w:t xml:space="preserve"> en contra de la respuesta del </w:t>
      </w:r>
      <w:r w:rsidR="00347624">
        <w:rPr>
          <w:rFonts w:ascii="Palatino Linotype" w:hAnsi="Palatino Linotype"/>
          <w:b/>
          <w:lang w:val="es-ES_tradnl"/>
        </w:rPr>
        <w:t xml:space="preserve">Ayuntamiento de </w:t>
      </w:r>
      <w:r w:rsidR="006814FB" w:rsidRPr="006814FB">
        <w:rPr>
          <w:rFonts w:ascii="Palatino Linotype" w:hAnsi="Palatino Linotype"/>
          <w:b/>
          <w:lang w:val="es-ES_tradnl"/>
        </w:rPr>
        <w:t>Lerma</w:t>
      </w:r>
      <w:r w:rsidRPr="00072966">
        <w:rPr>
          <w:rFonts w:ascii="Palatino Linotype" w:hAnsi="Palatino Linotype" w:cs="Arial"/>
          <w:sz w:val="24"/>
          <w:szCs w:val="24"/>
        </w:rPr>
        <w:t>, procedimiento a</w:t>
      </w:r>
      <w:r w:rsidR="0000525F" w:rsidRPr="00072966">
        <w:rPr>
          <w:rFonts w:ascii="Palatino Linotype" w:hAnsi="Palatino Linotype" w:cs="Arial"/>
          <w:sz w:val="24"/>
          <w:szCs w:val="24"/>
        </w:rPr>
        <w:t>l</w:t>
      </w:r>
      <w:r w:rsidR="00902248" w:rsidRPr="00072966">
        <w:rPr>
          <w:rFonts w:ascii="Palatino Linotype" w:hAnsi="Palatino Linotype" w:cs="Arial"/>
          <w:sz w:val="24"/>
          <w:szCs w:val="24"/>
        </w:rPr>
        <w:t xml:space="preserve"> que se le asignó </w:t>
      </w:r>
      <w:r w:rsidR="0000525F" w:rsidRPr="00072966">
        <w:rPr>
          <w:rFonts w:ascii="Palatino Linotype" w:hAnsi="Palatino Linotype" w:cs="Arial"/>
          <w:sz w:val="24"/>
          <w:szCs w:val="24"/>
        </w:rPr>
        <w:t>el</w:t>
      </w:r>
      <w:r w:rsidRPr="00072966">
        <w:rPr>
          <w:rFonts w:ascii="Palatino Linotype" w:hAnsi="Palatino Linotype" w:cs="Arial"/>
          <w:sz w:val="24"/>
          <w:szCs w:val="24"/>
        </w:rPr>
        <w:t xml:space="preserve"> número de expediente </w:t>
      </w:r>
      <w:r w:rsidR="0076241F" w:rsidRPr="00072966">
        <w:rPr>
          <w:rFonts w:ascii="Palatino Linotype" w:eastAsia="Times New Roman" w:hAnsi="Palatino Linotype" w:cs="Arial"/>
          <w:b/>
          <w:bCs/>
          <w:sz w:val="24"/>
          <w:szCs w:val="24"/>
          <w:lang w:eastAsia="es-ES"/>
        </w:rPr>
        <w:t>0</w:t>
      </w:r>
      <w:r w:rsidR="00347624">
        <w:rPr>
          <w:rFonts w:ascii="Palatino Linotype" w:eastAsia="Times New Roman" w:hAnsi="Palatino Linotype" w:cs="Arial"/>
          <w:b/>
          <w:bCs/>
          <w:sz w:val="24"/>
          <w:szCs w:val="24"/>
          <w:lang w:eastAsia="es-ES"/>
        </w:rPr>
        <w:t>4</w:t>
      </w:r>
      <w:r w:rsidR="00004FF3">
        <w:rPr>
          <w:rFonts w:ascii="Palatino Linotype" w:eastAsia="Times New Roman" w:hAnsi="Palatino Linotype" w:cs="Arial"/>
          <w:b/>
          <w:bCs/>
          <w:sz w:val="24"/>
          <w:szCs w:val="24"/>
          <w:lang w:eastAsia="es-ES"/>
        </w:rPr>
        <w:t>254</w:t>
      </w:r>
      <w:r w:rsidR="00C7250F" w:rsidRPr="00072966">
        <w:rPr>
          <w:rFonts w:ascii="Palatino Linotype" w:eastAsia="Times New Roman" w:hAnsi="Palatino Linotype" w:cs="Arial"/>
          <w:b/>
          <w:bCs/>
          <w:sz w:val="24"/>
          <w:szCs w:val="24"/>
          <w:lang w:eastAsia="es-ES"/>
        </w:rPr>
        <w:t>/INFOEM/IP/RR/2018</w:t>
      </w:r>
      <w:r w:rsidR="0000525F" w:rsidRPr="00072966">
        <w:rPr>
          <w:rFonts w:ascii="Palatino Linotype" w:eastAsia="Times New Roman" w:hAnsi="Palatino Linotype" w:cs="Arial"/>
          <w:b/>
          <w:bCs/>
          <w:sz w:val="24"/>
          <w:szCs w:val="24"/>
          <w:lang w:eastAsia="es-ES"/>
        </w:rPr>
        <w:t>.</w:t>
      </w:r>
    </w:p>
    <w:p w:rsidR="00BA337F" w:rsidRDefault="00BA337F" w:rsidP="00BA337F">
      <w:pPr>
        <w:spacing w:after="0" w:line="360" w:lineRule="auto"/>
        <w:ind w:right="-93"/>
        <w:jc w:val="both"/>
        <w:rPr>
          <w:rFonts w:ascii="Palatino Linotype" w:hAnsi="Palatino Linotype" w:cs="Arial"/>
          <w:sz w:val="24"/>
          <w:szCs w:val="24"/>
        </w:rPr>
      </w:pPr>
    </w:p>
    <w:p w:rsidR="00BA337F" w:rsidRPr="00BA337F" w:rsidRDefault="00BA337F" w:rsidP="00BA337F">
      <w:pPr>
        <w:pStyle w:val="Prrafodelista"/>
        <w:numPr>
          <w:ilvl w:val="0"/>
          <w:numId w:val="1"/>
        </w:numPr>
        <w:spacing w:after="0" w:line="360" w:lineRule="auto"/>
        <w:ind w:left="0" w:right="-93" w:firstLine="0"/>
        <w:jc w:val="both"/>
        <w:rPr>
          <w:rFonts w:ascii="Palatino Linotype" w:hAnsi="Palatino Linotype" w:cs="Arial"/>
          <w:i/>
          <w:sz w:val="24"/>
          <w:szCs w:val="24"/>
        </w:rPr>
      </w:pPr>
      <w:r w:rsidRPr="00DD7C56">
        <w:rPr>
          <w:rFonts w:ascii="Palatino Linotype" w:hAnsi="Palatino Linotype" w:cs="Arial"/>
          <w:sz w:val="24"/>
          <w:szCs w:val="24"/>
        </w:rPr>
        <w:t xml:space="preserve">El sentido </w:t>
      </w:r>
      <w:r w:rsidRPr="002E4D49">
        <w:rPr>
          <w:rFonts w:ascii="Palatino Linotype" w:eastAsia="Arial Unicode MS" w:hAnsi="Palatino Linotype" w:cs="Arial"/>
          <w:sz w:val="24"/>
          <w:szCs w:val="24"/>
          <w:bdr w:val="nil"/>
          <w:lang w:val="es-ES_tradnl"/>
        </w:rPr>
        <w:t>de</w:t>
      </w:r>
      <w:r w:rsidRPr="00DD7C56">
        <w:rPr>
          <w:rFonts w:ascii="Palatino Linotype" w:hAnsi="Palatino Linotype" w:cs="Arial"/>
          <w:sz w:val="24"/>
          <w:szCs w:val="24"/>
        </w:rPr>
        <w:t xml:space="preserve"> la Resolución determin</w:t>
      </w:r>
      <w:r>
        <w:rPr>
          <w:rFonts w:ascii="Palatino Linotype" w:hAnsi="Palatino Linotype" w:cs="Arial"/>
          <w:sz w:val="24"/>
          <w:szCs w:val="24"/>
        </w:rPr>
        <w:t xml:space="preserve">ó </w:t>
      </w:r>
      <w:r>
        <w:rPr>
          <w:rFonts w:ascii="Palatino Linotype" w:hAnsi="Palatino Linotype" w:cs="Arial"/>
          <w:b/>
          <w:sz w:val="24"/>
          <w:szCs w:val="24"/>
        </w:rPr>
        <w:t>MODIFICAR</w:t>
      </w:r>
      <w:r w:rsidRPr="00BE66A6">
        <w:rPr>
          <w:rFonts w:ascii="Palatino Linotype" w:hAnsi="Palatino Linotype" w:cs="Arial"/>
          <w:sz w:val="24"/>
          <w:szCs w:val="24"/>
        </w:rPr>
        <w:t xml:space="preserve"> el recurso de revisión</w:t>
      </w:r>
      <w:r>
        <w:rPr>
          <w:rFonts w:ascii="Palatino Linotype" w:hAnsi="Palatino Linotype" w:cs="Arial"/>
          <w:sz w:val="24"/>
          <w:szCs w:val="24"/>
        </w:rPr>
        <w:t xml:space="preserve"> y </w:t>
      </w:r>
      <w:r w:rsidRPr="0075096F">
        <w:rPr>
          <w:rFonts w:ascii="Palatino Linotype" w:hAnsi="Palatino Linotype"/>
          <w:bCs/>
          <w:sz w:val="24"/>
          <w:szCs w:val="24"/>
        </w:rPr>
        <w:t xml:space="preserve">hacer </w:t>
      </w:r>
      <w:r w:rsidRPr="00783716">
        <w:rPr>
          <w:rFonts w:ascii="Palatino Linotype" w:hAnsi="Palatino Linotype" w:cs="Arial"/>
          <w:sz w:val="24"/>
          <w:szCs w:val="24"/>
        </w:rPr>
        <w:t>entrega</w:t>
      </w:r>
      <w:r w:rsidRPr="0075096F">
        <w:rPr>
          <w:rFonts w:ascii="Palatino Linotype" w:hAnsi="Palatino Linotype"/>
          <w:b/>
          <w:bCs/>
          <w:sz w:val="24"/>
          <w:szCs w:val="24"/>
        </w:rPr>
        <w:t xml:space="preserve"> </w:t>
      </w:r>
      <w:r>
        <w:rPr>
          <w:rFonts w:ascii="Palatino Linotype" w:hAnsi="Palatino Linotype" w:cs="Arial"/>
          <w:sz w:val="24"/>
          <w:szCs w:val="24"/>
          <w:lang w:val="es-ES_tradnl"/>
        </w:rPr>
        <w:t>través del SAIMEX y en versión pública</w:t>
      </w:r>
      <w:r w:rsidRPr="0075096F">
        <w:rPr>
          <w:rFonts w:ascii="Palatino Linotype" w:hAnsi="Palatino Linotype" w:cs="Arial"/>
          <w:sz w:val="24"/>
          <w:szCs w:val="24"/>
          <w:lang w:val="es-ES_tradnl"/>
        </w:rPr>
        <w:t xml:space="preserve"> lo siguiente: </w:t>
      </w:r>
    </w:p>
    <w:p w:rsidR="00BA337F" w:rsidRPr="00BA337F" w:rsidRDefault="00BA337F" w:rsidP="00BA337F">
      <w:pPr>
        <w:pStyle w:val="Prrafodelista"/>
        <w:numPr>
          <w:ilvl w:val="0"/>
          <w:numId w:val="22"/>
        </w:numPr>
        <w:spacing w:before="240" w:after="240" w:line="240" w:lineRule="auto"/>
        <w:ind w:left="1418" w:right="900" w:hanging="425"/>
        <w:contextualSpacing w:val="0"/>
        <w:jc w:val="both"/>
        <w:rPr>
          <w:rFonts w:ascii="Palatino Linotype" w:hAnsi="Palatino Linotype" w:cs="Arial"/>
          <w:i/>
        </w:rPr>
      </w:pPr>
      <w:r w:rsidRPr="00BA337F">
        <w:rPr>
          <w:rFonts w:ascii="Palatino Linotype" w:hAnsi="Palatino Linotype"/>
          <w:i/>
          <w:sz w:val="24"/>
          <w:szCs w:val="24"/>
        </w:rPr>
        <w:t xml:space="preserve">El </w:t>
      </w:r>
      <w:r w:rsidRPr="00BA337F">
        <w:rPr>
          <w:rFonts w:ascii="Palatino Linotype" w:hAnsi="Palatino Linotype" w:cs="Arial"/>
          <w:bCs/>
          <w:i/>
          <w:shd w:val="clear" w:color="auto" w:fill="FFFFFF"/>
        </w:rPr>
        <w:t>Acuerdo del Comité de Transparencia</w:t>
      </w:r>
      <w:r w:rsidRPr="00BA337F">
        <w:rPr>
          <w:rFonts w:ascii="Palatino Linotype" w:eastAsia="Calibri" w:hAnsi="Palatino Linotype" w:cs="Arial"/>
          <w:i/>
          <w:lang w:val="es-ES_tradnl"/>
        </w:rPr>
        <w:t xml:space="preserve"> en el que funde y motive las razones por virtud de las cuales se justifique la reserva de la información consistente en:</w:t>
      </w:r>
    </w:p>
    <w:p w:rsidR="00BA337F" w:rsidRPr="00BA337F" w:rsidRDefault="00BA337F" w:rsidP="00BA337F">
      <w:pPr>
        <w:pStyle w:val="Prrafodelista"/>
        <w:numPr>
          <w:ilvl w:val="0"/>
          <w:numId w:val="23"/>
        </w:numPr>
        <w:spacing w:before="240" w:after="240" w:line="240" w:lineRule="auto"/>
        <w:ind w:left="1843" w:right="900" w:hanging="425"/>
        <w:contextualSpacing w:val="0"/>
        <w:jc w:val="both"/>
        <w:rPr>
          <w:rFonts w:ascii="Palatino Linotype" w:hAnsi="Palatino Linotype" w:cs="Arial"/>
          <w:i/>
        </w:rPr>
      </w:pPr>
      <w:r w:rsidRPr="00BA337F">
        <w:rPr>
          <w:rFonts w:ascii="Palatino Linotype" w:eastAsia="Calibri" w:hAnsi="Palatino Linotype" w:cs="Arial"/>
          <w:i/>
          <w:lang w:val="es-ES_tradnl"/>
        </w:rPr>
        <w:t xml:space="preserve">El </w:t>
      </w:r>
      <w:r w:rsidRPr="00BA337F">
        <w:rPr>
          <w:rFonts w:ascii="Palatino Linotype" w:hAnsi="Palatino Linotype" w:cs="Arial"/>
          <w:i/>
        </w:rPr>
        <w:t xml:space="preserve">nombre de los servidores públicos que integran la policía municipal. </w:t>
      </w:r>
    </w:p>
    <w:p w:rsidR="00BA337F" w:rsidRPr="00BA337F" w:rsidRDefault="00BA337F" w:rsidP="00BA337F">
      <w:pPr>
        <w:pStyle w:val="Prrafodelista"/>
        <w:numPr>
          <w:ilvl w:val="0"/>
          <w:numId w:val="23"/>
        </w:numPr>
        <w:spacing w:before="240" w:after="240" w:line="240" w:lineRule="auto"/>
        <w:ind w:left="1843" w:right="900" w:hanging="425"/>
        <w:contextualSpacing w:val="0"/>
        <w:jc w:val="both"/>
        <w:rPr>
          <w:rFonts w:ascii="Palatino Linotype" w:hAnsi="Palatino Linotype" w:cs="Arial"/>
          <w:i/>
        </w:rPr>
      </w:pPr>
      <w:r w:rsidRPr="00BA337F">
        <w:rPr>
          <w:rFonts w:ascii="Palatino Linotype" w:hAnsi="Palatino Linotype" w:cs="Arial"/>
          <w:i/>
        </w:rPr>
        <w:t xml:space="preserve"> La manera en que se encuentra dividido el municipio (cuadrantes) para que la policía municipal ejerza sus funciones.</w:t>
      </w:r>
    </w:p>
    <w:p w:rsidR="00BA337F" w:rsidRPr="00BA337F" w:rsidRDefault="00BA337F" w:rsidP="00BA337F">
      <w:pPr>
        <w:pStyle w:val="Prrafodelista"/>
        <w:spacing w:before="240" w:after="240"/>
        <w:ind w:left="1418" w:right="900" w:hanging="425"/>
        <w:jc w:val="both"/>
        <w:rPr>
          <w:rFonts w:ascii="Palatino Linotype" w:hAnsi="Palatino Linotype" w:cs="Arial"/>
          <w:i/>
          <w:sz w:val="2"/>
        </w:rPr>
      </w:pPr>
    </w:p>
    <w:p w:rsidR="00BA337F" w:rsidRPr="00BA337F" w:rsidRDefault="00BA337F" w:rsidP="00BA337F">
      <w:pPr>
        <w:pStyle w:val="Prrafodelista"/>
        <w:numPr>
          <w:ilvl w:val="0"/>
          <w:numId w:val="22"/>
        </w:numPr>
        <w:spacing w:before="240" w:after="240" w:line="240" w:lineRule="auto"/>
        <w:ind w:left="1418" w:right="900" w:hanging="425"/>
        <w:contextualSpacing w:val="0"/>
        <w:jc w:val="both"/>
        <w:rPr>
          <w:rFonts w:ascii="Palatino Linotype" w:hAnsi="Palatino Linotype" w:cs="Arial"/>
          <w:i/>
        </w:rPr>
      </w:pPr>
      <w:r w:rsidRPr="00BA337F">
        <w:rPr>
          <w:rFonts w:ascii="Palatino Linotype" w:hAnsi="Palatino Linotype" w:cs="Arial"/>
          <w:i/>
        </w:rPr>
        <w:t>En versión pública, la nómina de los servidores públicos que integran la policía municipal de la segunda quincena del mes de agosto de 2018.</w:t>
      </w:r>
    </w:p>
    <w:p w:rsidR="00BA337F" w:rsidRPr="00BA337F" w:rsidRDefault="00BA337F" w:rsidP="00BA337F">
      <w:pPr>
        <w:pStyle w:val="Prrafodelista"/>
        <w:numPr>
          <w:ilvl w:val="0"/>
          <w:numId w:val="22"/>
        </w:numPr>
        <w:spacing w:before="240" w:after="240" w:line="240" w:lineRule="auto"/>
        <w:ind w:left="1418" w:right="900" w:hanging="425"/>
        <w:contextualSpacing w:val="0"/>
        <w:jc w:val="both"/>
        <w:rPr>
          <w:rFonts w:ascii="Palatino Linotype" w:hAnsi="Palatino Linotype" w:cs="Arial"/>
          <w:i/>
        </w:rPr>
      </w:pPr>
      <w:r w:rsidRPr="00BA337F">
        <w:rPr>
          <w:rFonts w:ascii="Palatino Linotype" w:hAnsi="Palatino Linotype" w:cs="Arial"/>
          <w:i/>
        </w:rPr>
        <w:t>En versión pública, el Inventario de bienes muebles e inmuebles en donde se precisen los correspondientes a la policía municipal, vigente al 20 de septiembre de 2018.</w:t>
      </w:r>
    </w:p>
    <w:p w:rsidR="00BA337F" w:rsidRPr="00495EF8" w:rsidRDefault="00BA337F" w:rsidP="00BA337F">
      <w:pPr>
        <w:pStyle w:val="Prrafodelista"/>
        <w:ind w:left="1068"/>
        <w:rPr>
          <w:rFonts w:ascii="Palatino Linotype" w:eastAsia="Calibri" w:hAnsi="Palatino Linotype" w:cs="Arial"/>
          <w:lang w:val="es-ES_tradnl"/>
        </w:rPr>
      </w:pPr>
      <w:r w:rsidRPr="00495EF8">
        <w:rPr>
          <w:rFonts w:ascii="Palatino Linotype" w:hAnsi="Palatino Linotype" w:cs="Arial"/>
          <w:bCs/>
          <w:i/>
          <w:shd w:val="clear" w:color="auto" w:fill="FFFFFF"/>
        </w:rPr>
        <w:lastRenderedPageBreak/>
        <w:t>Para lo cual, deberá emitir el Acuerdo del Comité de Transparencia</w:t>
      </w:r>
      <w:r w:rsidRPr="00495EF8">
        <w:rPr>
          <w:rFonts w:ascii="Palatino Linotype" w:eastAsia="Calibri" w:hAnsi="Palatino Linotype" w:cs="Arial"/>
          <w:i/>
          <w:lang w:val="es-ES_tradnl"/>
        </w:rPr>
        <w:t>, en el que funde y motive las razones sobre los datos que se supriman o eliminen dentro del soporte documental respectivo objeto de la versión pública que se formule y se ponga a disposición del recurrente</w:t>
      </w:r>
      <w:r w:rsidRPr="00495EF8">
        <w:rPr>
          <w:rFonts w:ascii="Palatino Linotype" w:eastAsia="Calibri" w:hAnsi="Palatino Linotype" w:cs="Arial"/>
          <w:lang w:val="es-ES_tradnl"/>
        </w:rPr>
        <w:t>.</w:t>
      </w:r>
    </w:p>
    <w:p w:rsidR="00BA337F" w:rsidRPr="0075096F" w:rsidRDefault="00BA337F" w:rsidP="00776827">
      <w:pPr>
        <w:pStyle w:val="Prrafodelista"/>
        <w:spacing w:after="0" w:line="240" w:lineRule="auto"/>
        <w:ind w:left="0" w:right="-93"/>
        <w:jc w:val="both"/>
        <w:rPr>
          <w:rFonts w:ascii="Palatino Linotype" w:hAnsi="Palatino Linotype" w:cs="Arial"/>
          <w:i/>
          <w:sz w:val="24"/>
          <w:szCs w:val="24"/>
        </w:rPr>
      </w:pPr>
    </w:p>
    <w:p w:rsidR="00776827" w:rsidRDefault="00BA337F" w:rsidP="00776827">
      <w:pPr>
        <w:pStyle w:val="Prrafodelista"/>
        <w:numPr>
          <w:ilvl w:val="0"/>
          <w:numId w:val="1"/>
        </w:numPr>
        <w:spacing w:after="0" w:line="360" w:lineRule="auto"/>
        <w:ind w:left="0" w:right="-93" w:firstLine="0"/>
        <w:jc w:val="both"/>
        <w:rPr>
          <w:rFonts w:ascii="Palatino Linotype" w:hAnsi="Palatino Linotype" w:cs="Arial"/>
          <w:sz w:val="24"/>
          <w:szCs w:val="24"/>
        </w:rPr>
      </w:pPr>
      <w:r>
        <w:rPr>
          <w:rFonts w:ascii="Palatino Linotype" w:hAnsi="Palatino Linotype" w:cs="Arial"/>
          <w:sz w:val="24"/>
          <w:szCs w:val="24"/>
        </w:rPr>
        <w:t>S</w:t>
      </w:r>
      <w:r w:rsidRPr="00072966">
        <w:rPr>
          <w:rFonts w:ascii="Palatino Linotype" w:hAnsi="Palatino Linotype" w:cs="Arial"/>
          <w:sz w:val="24"/>
          <w:szCs w:val="24"/>
        </w:rPr>
        <w:t xml:space="preserve">in embargo, mi </w:t>
      </w:r>
      <w:r w:rsidRPr="002E4D49">
        <w:rPr>
          <w:rFonts w:ascii="Palatino Linotype" w:eastAsia="Arial Unicode MS" w:hAnsi="Palatino Linotype" w:cs="Arial"/>
          <w:sz w:val="24"/>
          <w:szCs w:val="24"/>
          <w:bdr w:val="nil"/>
          <w:lang w:val="es-ES_tradnl"/>
        </w:rPr>
        <w:t>voto</w:t>
      </w:r>
      <w:r w:rsidRPr="00072966">
        <w:rPr>
          <w:rFonts w:ascii="Palatino Linotype" w:hAnsi="Palatino Linotype" w:cs="Arial"/>
          <w:sz w:val="24"/>
          <w:szCs w:val="24"/>
        </w:rPr>
        <w:t xml:space="preserve"> particular se deriva del hecho de que se haya</w:t>
      </w:r>
      <w:r w:rsidR="00776827">
        <w:rPr>
          <w:rFonts w:ascii="Palatino Linotype" w:hAnsi="Palatino Linotype" w:cs="Arial"/>
          <w:sz w:val="24"/>
          <w:szCs w:val="24"/>
        </w:rPr>
        <w:t xml:space="preserve"> ordenado el acuerdo de reserva de la información correspondiente a la </w:t>
      </w:r>
      <w:r w:rsidR="00776827" w:rsidRPr="00776827">
        <w:rPr>
          <w:rFonts w:ascii="Palatino Linotype" w:hAnsi="Palatino Linotype" w:cs="Arial"/>
          <w:sz w:val="24"/>
          <w:szCs w:val="24"/>
        </w:rPr>
        <w:t xml:space="preserve">manera en que se encuentra dividido el municipio (cuadrantes) </w:t>
      </w:r>
      <w:r w:rsidR="0005558D">
        <w:rPr>
          <w:rFonts w:ascii="Palatino Linotype" w:hAnsi="Palatino Linotype" w:cs="Arial"/>
          <w:sz w:val="24"/>
          <w:szCs w:val="24"/>
        </w:rPr>
        <w:t xml:space="preserve">con el objetivo que </w:t>
      </w:r>
      <w:r w:rsidR="00776827" w:rsidRPr="00776827">
        <w:rPr>
          <w:rFonts w:ascii="Palatino Linotype" w:hAnsi="Palatino Linotype" w:cs="Arial"/>
          <w:sz w:val="24"/>
          <w:szCs w:val="24"/>
        </w:rPr>
        <w:t>la policía municipal ejerza sus funciones.</w:t>
      </w:r>
    </w:p>
    <w:p w:rsidR="00BA337F" w:rsidRPr="00062A8A" w:rsidRDefault="00BA337F" w:rsidP="00BA337F">
      <w:pPr>
        <w:pStyle w:val="Prrafodelista"/>
        <w:spacing w:after="0" w:line="240" w:lineRule="auto"/>
        <w:ind w:left="0"/>
        <w:jc w:val="both"/>
        <w:rPr>
          <w:rFonts w:ascii="Palatino Linotype" w:hAnsi="Palatino Linotype" w:cs="Arial"/>
          <w:sz w:val="12"/>
          <w:szCs w:val="24"/>
        </w:rPr>
      </w:pPr>
    </w:p>
    <w:p w:rsidR="00BA337F" w:rsidRDefault="00BA337F" w:rsidP="00BA337F">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 xml:space="preserve">Por tal </w:t>
      </w:r>
      <w:r w:rsidRPr="002E4D49">
        <w:rPr>
          <w:rFonts w:ascii="Palatino Linotype" w:eastAsia="Arial Unicode MS" w:hAnsi="Palatino Linotype" w:cs="Arial"/>
          <w:sz w:val="24"/>
          <w:szCs w:val="24"/>
          <w:bdr w:val="nil"/>
          <w:lang w:val="es-ES_tradnl"/>
        </w:rPr>
        <w:t>motivo</w:t>
      </w:r>
      <w:r w:rsidRPr="00072966">
        <w:rPr>
          <w:rFonts w:ascii="Palatino Linotype" w:hAnsi="Palatino Linotype" w:cs="Arial"/>
          <w:sz w:val="24"/>
          <w:szCs w:val="24"/>
        </w:rPr>
        <w:t xml:space="preserve"> y en términos de lo señalado por los artículos 14 fracción XI del Reglamento Interior del Instituto de Transparencia y Acceso a la Información Pública del Estado de México y Municipios formulo el presente voto particular. </w:t>
      </w:r>
    </w:p>
    <w:p w:rsidR="0001046D" w:rsidRPr="000A4B02" w:rsidRDefault="0001046D" w:rsidP="000A4B02">
      <w:pPr>
        <w:pStyle w:val="Prrafodelista"/>
        <w:spacing w:line="240" w:lineRule="auto"/>
        <w:rPr>
          <w:rFonts w:ascii="Palatino Linotype" w:hAnsi="Palatino Linotype" w:cs="Arial"/>
          <w:sz w:val="12"/>
          <w:szCs w:val="24"/>
        </w:rPr>
      </w:pPr>
    </w:p>
    <w:p w:rsidR="0046491C" w:rsidRPr="009A5396" w:rsidRDefault="0046491C" w:rsidP="00E34F08">
      <w:pPr>
        <w:pStyle w:val="Ttulo1"/>
        <w:numPr>
          <w:ilvl w:val="0"/>
          <w:numId w:val="12"/>
        </w:numPr>
        <w:spacing w:line="360" w:lineRule="auto"/>
        <w:rPr>
          <w:rFonts w:ascii="Palatino Linotype" w:hAnsi="Palatino Linotype"/>
          <w:b/>
          <w:color w:val="auto"/>
          <w:sz w:val="24"/>
          <w:szCs w:val="24"/>
        </w:rPr>
      </w:pPr>
      <w:bookmarkStart w:id="2" w:name="_Toc535830535"/>
      <w:r w:rsidRPr="009A5396">
        <w:rPr>
          <w:rFonts w:ascii="Palatino Linotype" w:hAnsi="Palatino Linotype"/>
          <w:b/>
          <w:color w:val="auto"/>
          <w:sz w:val="24"/>
          <w:szCs w:val="24"/>
        </w:rPr>
        <w:t>De los requerimientos planteados en el recurso de revisión.</w:t>
      </w:r>
      <w:bookmarkEnd w:id="2"/>
    </w:p>
    <w:p w:rsidR="0046491C" w:rsidRPr="009A5396" w:rsidRDefault="0046491C" w:rsidP="000A4B02">
      <w:pPr>
        <w:pStyle w:val="Prrafodelista"/>
        <w:spacing w:line="240" w:lineRule="auto"/>
        <w:ind w:left="1080"/>
        <w:jc w:val="both"/>
        <w:rPr>
          <w:rFonts w:ascii="Palatino Linotype" w:hAnsi="Palatino Linotype" w:cs="Arial"/>
          <w:sz w:val="24"/>
          <w:szCs w:val="24"/>
        </w:rPr>
      </w:pPr>
    </w:p>
    <w:p w:rsidR="009E334C" w:rsidRPr="009E334C" w:rsidRDefault="009D2892" w:rsidP="00DD7431">
      <w:pPr>
        <w:pStyle w:val="Prrafodelista"/>
        <w:numPr>
          <w:ilvl w:val="0"/>
          <w:numId w:val="1"/>
        </w:numPr>
        <w:spacing w:after="0" w:line="360" w:lineRule="auto"/>
        <w:ind w:left="0" w:right="-93" w:firstLine="0"/>
        <w:jc w:val="both"/>
        <w:rPr>
          <w:rFonts w:ascii="Palatino Linotype" w:eastAsia="Times New Roman" w:hAnsi="Palatino Linotype" w:cs="Times New Roman"/>
          <w:i/>
          <w:sz w:val="24"/>
          <w:szCs w:val="24"/>
          <w:lang w:val="es-ES_tradnl" w:eastAsia="es-ES"/>
        </w:rPr>
      </w:pPr>
      <w:r w:rsidRPr="009A5396">
        <w:rPr>
          <w:rFonts w:ascii="Palatino Linotype" w:hAnsi="Palatino Linotype" w:cs="Arial"/>
          <w:sz w:val="24"/>
          <w:szCs w:val="24"/>
        </w:rPr>
        <w:t>La parte recurrente</w:t>
      </w:r>
      <w:r w:rsidR="000D1743" w:rsidRPr="009A5396">
        <w:rPr>
          <w:rFonts w:ascii="Palatino Linotype" w:hAnsi="Palatino Linotype" w:cs="Arial"/>
          <w:sz w:val="24"/>
          <w:szCs w:val="24"/>
        </w:rPr>
        <w:t xml:space="preserve"> solicitó </w:t>
      </w:r>
      <w:r w:rsidRPr="009A5396">
        <w:rPr>
          <w:rFonts w:ascii="Palatino Linotype" w:hAnsi="Palatino Linotype" w:cs="Arial"/>
          <w:sz w:val="24"/>
          <w:szCs w:val="24"/>
        </w:rPr>
        <w:t xml:space="preserve">al </w:t>
      </w:r>
      <w:r w:rsidR="00347624" w:rsidRPr="009A5396">
        <w:rPr>
          <w:rFonts w:ascii="Palatino Linotype" w:hAnsi="Palatino Linotype" w:cs="Arial"/>
          <w:sz w:val="24"/>
          <w:szCs w:val="24"/>
        </w:rPr>
        <w:t>Ayuntamiento lo</w:t>
      </w:r>
      <w:r w:rsidR="009E334C">
        <w:rPr>
          <w:rFonts w:ascii="Palatino Linotype" w:hAnsi="Palatino Linotype" w:cs="Arial"/>
          <w:sz w:val="24"/>
          <w:szCs w:val="24"/>
        </w:rPr>
        <w:t xml:space="preserve"> </w:t>
      </w:r>
      <w:r w:rsidR="00A21EA1">
        <w:rPr>
          <w:rFonts w:ascii="Palatino Linotype" w:hAnsi="Palatino Linotype" w:cs="Arial"/>
          <w:sz w:val="24"/>
          <w:szCs w:val="24"/>
        </w:rPr>
        <w:t>siguiente</w:t>
      </w:r>
      <w:r w:rsidR="009E334C">
        <w:rPr>
          <w:rFonts w:ascii="Palatino Linotype" w:hAnsi="Palatino Linotype" w:cs="Arial"/>
          <w:sz w:val="24"/>
          <w:szCs w:val="24"/>
        </w:rPr>
        <w:t xml:space="preserve">: </w:t>
      </w:r>
    </w:p>
    <w:p w:rsidR="0005558D" w:rsidRPr="00495EF8" w:rsidRDefault="0005558D" w:rsidP="0005558D">
      <w:pPr>
        <w:pStyle w:val="Prrafodelista"/>
        <w:autoSpaceDE w:val="0"/>
        <w:autoSpaceDN w:val="0"/>
        <w:adjustRightInd w:val="0"/>
        <w:ind w:left="851" w:right="616"/>
        <w:jc w:val="both"/>
        <w:rPr>
          <w:rFonts w:ascii="Palatino Linotype" w:hAnsi="Palatino Linotype"/>
          <w:i/>
          <w:lang w:val="es-ES"/>
        </w:rPr>
      </w:pPr>
      <w:r w:rsidRPr="00495EF8">
        <w:rPr>
          <w:rFonts w:ascii="Palatino Linotype" w:hAnsi="Palatino Linotype" w:cs="Arial"/>
          <w:i/>
        </w:rPr>
        <w:t>“</w:t>
      </w:r>
      <w:r w:rsidRPr="00495EF8">
        <w:rPr>
          <w:rFonts w:ascii="Palatino Linotype" w:hAnsi="Palatino Linotype"/>
          <w:i/>
          <w:lang w:val="es-ES"/>
        </w:rPr>
        <w:t xml:space="preserve">Deseo conocer en soporte documental la siguiente información: 1. Estructura Orgánica de la policía municipal 2. Nombre de los servidores públicos que integran la policía municipal 3. La manera en que se encuentra dividido el municipio (cuadrantes) para que la policía municipal ejerza sus funciones 4. Nómina de los servidores públicos que integran la policía municipal de la segunda quincena del mes de agosto de 2018. 5. Presupuesto asignado y ejercido 2018 de la policía municipal 6. Inventario de bienes muebles e inmuebles de la policía municipal.” </w:t>
      </w:r>
      <w:r w:rsidRPr="00495EF8">
        <w:rPr>
          <w:rFonts w:ascii="Palatino Linotype" w:hAnsi="Palatino Linotype" w:cs="Arial"/>
          <w:i/>
        </w:rPr>
        <w:t>(Sic)</w:t>
      </w:r>
    </w:p>
    <w:p w:rsidR="009E334C" w:rsidRDefault="009E334C" w:rsidP="009E334C">
      <w:pPr>
        <w:pStyle w:val="Prrafodelista"/>
        <w:spacing w:after="0" w:line="360" w:lineRule="auto"/>
        <w:ind w:left="0" w:right="-93"/>
        <w:jc w:val="both"/>
        <w:rPr>
          <w:rFonts w:ascii="Palatino Linotype" w:hAnsi="Palatino Linotype" w:cs="Arial"/>
          <w:sz w:val="24"/>
          <w:szCs w:val="24"/>
        </w:rPr>
      </w:pPr>
    </w:p>
    <w:p w:rsidR="0005558D" w:rsidRPr="0005558D" w:rsidRDefault="009D2892" w:rsidP="0005558D">
      <w:pPr>
        <w:pStyle w:val="Prrafodelista"/>
        <w:numPr>
          <w:ilvl w:val="0"/>
          <w:numId w:val="1"/>
        </w:numPr>
        <w:spacing w:after="0" w:line="360" w:lineRule="auto"/>
        <w:ind w:left="0" w:right="-93" w:firstLine="0"/>
        <w:jc w:val="both"/>
        <w:rPr>
          <w:rFonts w:ascii="Palatino Linotype" w:eastAsia="Calibri" w:hAnsi="Palatino Linotype" w:cs="Tahoma"/>
          <w:iCs/>
          <w:sz w:val="24"/>
          <w:szCs w:val="24"/>
          <w:lang w:val="es-ES" w:eastAsia="es-ES_tradnl"/>
        </w:rPr>
      </w:pPr>
      <w:r w:rsidRPr="009A5396">
        <w:rPr>
          <w:rFonts w:ascii="Palatino Linotype" w:eastAsia="Calibri" w:hAnsi="Palatino Linotype" w:cs="Tahoma"/>
          <w:iCs/>
          <w:sz w:val="24"/>
          <w:szCs w:val="24"/>
          <w:lang w:val="es-ES" w:eastAsia="es-ES_tradnl"/>
        </w:rPr>
        <w:t xml:space="preserve">El Sujeto </w:t>
      </w:r>
      <w:r w:rsidRPr="0005558D">
        <w:rPr>
          <w:rFonts w:ascii="Palatino Linotype" w:eastAsia="Calibri" w:hAnsi="Palatino Linotype" w:cs="Tahoma"/>
          <w:iCs/>
          <w:sz w:val="24"/>
          <w:szCs w:val="24"/>
          <w:lang w:val="es-ES" w:eastAsia="es-ES_tradnl"/>
        </w:rPr>
        <w:t>Obligado</w:t>
      </w:r>
      <w:r w:rsidRPr="009A5396">
        <w:rPr>
          <w:rFonts w:ascii="Palatino Linotype" w:eastAsia="Calibri" w:hAnsi="Palatino Linotype" w:cs="Tahoma"/>
          <w:iCs/>
          <w:sz w:val="24"/>
          <w:szCs w:val="24"/>
          <w:lang w:val="es-ES" w:eastAsia="es-ES_tradnl"/>
        </w:rPr>
        <w:t xml:space="preserve"> en</w:t>
      </w:r>
      <w:r w:rsidR="0005558D">
        <w:rPr>
          <w:rFonts w:ascii="Palatino Linotype" w:eastAsia="Calibri" w:hAnsi="Palatino Linotype" w:cs="Tahoma"/>
          <w:iCs/>
          <w:sz w:val="24"/>
          <w:szCs w:val="24"/>
          <w:lang w:val="es-ES" w:eastAsia="es-ES_tradnl"/>
        </w:rPr>
        <w:t xml:space="preserve"> solicitó una prórroga así como aclaración por parte del solicitante, la cual </w:t>
      </w:r>
      <w:r w:rsidRPr="009A5396">
        <w:rPr>
          <w:rFonts w:ascii="Palatino Linotype" w:eastAsia="Calibri" w:hAnsi="Palatino Linotype" w:cs="Tahoma"/>
          <w:iCs/>
          <w:sz w:val="24"/>
          <w:szCs w:val="24"/>
          <w:lang w:val="es-ES" w:eastAsia="es-ES_tradnl"/>
        </w:rPr>
        <w:t xml:space="preserve"> </w:t>
      </w:r>
      <w:r w:rsidR="0005558D">
        <w:rPr>
          <w:rFonts w:ascii="Palatino Linotype" w:eastAsia="Calibri" w:hAnsi="Palatino Linotype" w:cs="Tahoma"/>
          <w:iCs/>
          <w:sz w:val="24"/>
          <w:szCs w:val="24"/>
          <w:lang w:val="es-ES" w:eastAsia="es-ES_tradnl"/>
        </w:rPr>
        <w:t xml:space="preserve">consistió en solicitar </w:t>
      </w:r>
      <w:r w:rsidR="0005558D" w:rsidRPr="0005558D">
        <w:rPr>
          <w:rFonts w:ascii="Palatino Linotype" w:eastAsia="Calibri" w:hAnsi="Palatino Linotype" w:cs="Tahoma"/>
          <w:iCs/>
          <w:sz w:val="24"/>
          <w:szCs w:val="24"/>
          <w:lang w:val="es-ES" w:eastAsia="es-ES_tradnl"/>
        </w:rPr>
        <w:t>un descripción clara y precisa de los datos que requieren ser aclarados, corregidos o complementados</w:t>
      </w:r>
      <w:r w:rsidR="0005558D">
        <w:rPr>
          <w:rFonts w:ascii="Palatino Linotype" w:eastAsia="Calibri" w:hAnsi="Palatino Linotype" w:cs="Tahoma"/>
          <w:iCs/>
          <w:sz w:val="24"/>
          <w:szCs w:val="24"/>
          <w:lang w:val="es-ES" w:eastAsia="es-ES_tradnl"/>
        </w:rPr>
        <w:t xml:space="preserve">; para lo cual el solicitante señaló que su solicitud era </w:t>
      </w:r>
      <w:r w:rsidR="0005558D" w:rsidRPr="0005558D">
        <w:rPr>
          <w:rFonts w:ascii="Palatino Linotype" w:eastAsia="Calibri" w:hAnsi="Palatino Linotype" w:cs="Tahoma"/>
          <w:iCs/>
          <w:sz w:val="24"/>
          <w:szCs w:val="24"/>
          <w:lang w:val="es-ES" w:eastAsia="es-ES_tradnl"/>
        </w:rPr>
        <w:t>concreta sin que de ella se tenga que pedir aclaración ya que lo solicitado es entendible</w:t>
      </w:r>
      <w:r w:rsidR="00357936">
        <w:rPr>
          <w:rFonts w:ascii="Palatino Linotype" w:eastAsia="Calibri" w:hAnsi="Palatino Linotype" w:cs="Tahoma"/>
          <w:iCs/>
          <w:sz w:val="24"/>
          <w:szCs w:val="24"/>
          <w:lang w:val="es-ES" w:eastAsia="es-ES_tradnl"/>
        </w:rPr>
        <w:t>.</w:t>
      </w:r>
    </w:p>
    <w:p w:rsidR="0005558D" w:rsidRDefault="0005558D" w:rsidP="00357936">
      <w:pPr>
        <w:pStyle w:val="Prrafodelista"/>
        <w:spacing w:after="0" w:line="240" w:lineRule="auto"/>
        <w:ind w:left="0" w:right="-93"/>
        <w:jc w:val="both"/>
        <w:rPr>
          <w:rFonts w:ascii="Palatino Linotype" w:eastAsia="Calibri" w:hAnsi="Palatino Linotype" w:cs="Tahoma"/>
          <w:iCs/>
          <w:sz w:val="24"/>
          <w:szCs w:val="24"/>
          <w:lang w:val="es-ES" w:eastAsia="es-ES_tradnl"/>
        </w:rPr>
      </w:pPr>
    </w:p>
    <w:p w:rsidR="00357936" w:rsidRPr="00357936" w:rsidRDefault="00357936" w:rsidP="00357936">
      <w:pPr>
        <w:pStyle w:val="Prrafodelista"/>
        <w:numPr>
          <w:ilvl w:val="0"/>
          <w:numId w:val="1"/>
        </w:numPr>
        <w:spacing w:after="0" w:line="360" w:lineRule="auto"/>
        <w:ind w:left="0" w:right="-93" w:firstLine="0"/>
        <w:jc w:val="both"/>
        <w:rPr>
          <w:rFonts w:ascii="Palatino Linotype" w:eastAsia="Calibri" w:hAnsi="Palatino Linotype" w:cs="Tahoma"/>
          <w:iCs/>
          <w:sz w:val="24"/>
          <w:szCs w:val="24"/>
          <w:lang w:val="es-ES" w:eastAsia="es-ES_tradnl"/>
        </w:rPr>
      </w:pPr>
      <w:r>
        <w:rPr>
          <w:rFonts w:ascii="Palatino Linotype" w:eastAsia="Calibri" w:hAnsi="Palatino Linotype" w:cs="Tahoma"/>
          <w:iCs/>
          <w:sz w:val="24"/>
          <w:szCs w:val="24"/>
          <w:lang w:val="es-ES" w:eastAsia="es-ES_tradnl"/>
        </w:rPr>
        <w:t xml:space="preserve">Así pues, el Sujeto Obligado en respuesta de la parte que nos interesa </w:t>
      </w:r>
      <w:r w:rsidR="006F419D">
        <w:rPr>
          <w:rFonts w:ascii="Palatino Linotype" w:eastAsia="Calibri" w:hAnsi="Palatino Linotype" w:cs="Tahoma"/>
          <w:iCs/>
          <w:sz w:val="24"/>
          <w:szCs w:val="24"/>
          <w:lang w:val="es-ES" w:eastAsia="es-ES_tradnl"/>
        </w:rPr>
        <w:t xml:space="preserve">el </w:t>
      </w:r>
      <w:r w:rsidR="006F419D" w:rsidRPr="006F419D">
        <w:rPr>
          <w:rFonts w:ascii="Palatino Linotype" w:eastAsia="Calibri" w:hAnsi="Palatino Linotype" w:cs="Tahoma"/>
          <w:iCs/>
          <w:sz w:val="24"/>
          <w:szCs w:val="24"/>
          <w:lang w:val="es-ES" w:eastAsia="es-ES_tradnl"/>
        </w:rPr>
        <w:t>Director de Seguridad Pública y Tránsito Municipal de Lerma</w:t>
      </w:r>
      <w:r w:rsidR="006F419D">
        <w:rPr>
          <w:rFonts w:ascii="Palatino Linotype" w:eastAsia="Calibri" w:hAnsi="Palatino Linotype" w:cs="Tahoma"/>
          <w:iCs/>
          <w:sz w:val="24"/>
          <w:szCs w:val="24"/>
          <w:lang w:val="es-ES" w:eastAsia="es-ES_tradnl"/>
        </w:rPr>
        <w:t xml:space="preserve"> </w:t>
      </w:r>
      <w:r>
        <w:rPr>
          <w:rFonts w:ascii="Palatino Linotype" w:eastAsia="Calibri" w:hAnsi="Palatino Linotype" w:cs="Tahoma"/>
          <w:iCs/>
          <w:sz w:val="24"/>
          <w:szCs w:val="24"/>
          <w:lang w:val="es-ES" w:eastAsia="es-ES_tradnl"/>
        </w:rPr>
        <w:t xml:space="preserve">señaló que </w:t>
      </w:r>
      <w:r w:rsidRPr="006F419D">
        <w:rPr>
          <w:rFonts w:ascii="Palatino Linotype" w:eastAsia="Calibri" w:hAnsi="Palatino Linotype" w:cs="Tahoma"/>
          <w:iCs/>
          <w:sz w:val="24"/>
          <w:szCs w:val="24"/>
          <w:lang w:val="es-ES" w:eastAsia="es-ES_tradnl"/>
        </w:rPr>
        <w:t>este tipo de información es considerada como información que únicamente de control y manejo exclusivo del Sistema de Seguridad Pública del Estado, en específico del Secretariado Ejecutivo del Sistema Estatal de Seguridad Pública; en tal virtud, esta clase de información solo puede ser controlada por instituciones con competencia  a efecto de salvaguardar la seguridad pública, por tal motivo solicita sea clasificada con el carácter de reservada</w:t>
      </w:r>
      <w:r w:rsidRPr="00357936">
        <w:rPr>
          <w:rFonts w:ascii="Palatino Linotype" w:hAnsi="Palatino Linotype"/>
        </w:rPr>
        <w:t xml:space="preserve">. </w:t>
      </w:r>
    </w:p>
    <w:p w:rsidR="00357936" w:rsidRPr="00357936" w:rsidRDefault="00357936" w:rsidP="00357936">
      <w:pPr>
        <w:pStyle w:val="Prrafodelista"/>
        <w:rPr>
          <w:rFonts w:ascii="Palatino Linotype" w:eastAsia="Calibri" w:hAnsi="Palatino Linotype" w:cs="Tahoma"/>
          <w:iCs/>
          <w:sz w:val="24"/>
          <w:szCs w:val="24"/>
          <w:lang w:val="es-ES" w:eastAsia="es-ES_tradnl"/>
        </w:rPr>
      </w:pPr>
    </w:p>
    <w:p w:rsidR="006F419D" w:rsidRPr="006F419D" w:rsidRDefault="006F419D" w:rsidP="006F419D">
      <w:pPr>
        <w:pStyle w:val="Prrafodelista"/>
        <w:numPr>
          <w:ilvl w:val="0"/>
          <w:numId w:val="1"/>
        </w:numPr>
        <w:spacing w:after="0" w:line="360" w:lineRule="auto"/>
        <w:ind w:left="0" w:right="-93" w:firstLine="0"/>
        <w:jc w:val="both"/>
        <w:rPr>
          <w:rFonts w:ascii="Palatino Linotype" w:eastAsia="Calibri" w:hAnsi="Palatino Linotype" w:cs="Tahoma"/>
          <w:iCs/>
          <w:sz w:val="24"/>
          <w:szCs w:val="24"/>
          <w:lang w:val="es-ES" w:eastAsia="es-ES_tradnl"/>
        </w:rPr>
      </w:pPr>
      <w:r>
        <w:rPr>
          <w:rFonts w:ascii="Palatino Linotype" w:eastAsia="Calibri" w:hAnsi="Palatino Linotype" w:cs="Tahoma"/>
          <w:iCs/>
          <w:sz w:val="24"/>
          <w:szCs w:val="24"/>
          <w:lang w:val="es-ES" w:eastAsia="es-ES_tradnl"/>
        </w:rPr>
        <w:t xml:space="preserve">Cabe señalar que el ahora recurrente señaló en su recurso de revisión que el Sujeto Obligado ni dio </w:t>
      </w:r>
      <w:r w:rsidRPr="006F419D">
        <w:rPr>
          <w:rFonts w:ascii="Palatino Linotype" w:eastAsia="Calibri" w:hAnsi="Palatino Linotype" w:cs="Tahoma"/>
          <w:iCs/>
          <w:sz w:val="24"/>
          <w:szCs w:val="24"/>
          <w:lang w:val="es-ES" w:eastAsia="es-ES_tradnl"/>
        </w:rPr>
        <w:t>razones para clasificar la información; esto es,  no hace la prueba del daño</w:t>
      </w:r>
      <w:r>
        <w:rPr>
          <w:rFonts w:ascii="Palatino Linotype" w:eastAsia="Calibri" w:hAnsi="Palatino Linotype" w:cs="Tahoma"/>
          <w:iCs/>
          <w:sz w:val="24"/>
          <w:szCs w:val="24"/>
          <w:lang w:val="es-ES" w:eastAsia="es-ES_tradnl"/>
        </w:rPr>
        <w:t xml:space="preserve">. </w:t>
      </w:r>
    </w:p>
    <w:p w:rsidR="00166140" w:rsidRPr="00166140" w:rsidRDefault="00166140" w:rsidP="00166140">
      <w:pPr>
        <w:spacing w:after="0" w:line="240" w:lineRule="auto"/>
        <w:ind w:left="567" w:right="616"/>
        <w:jc w:val="both"/>
        <w:rPr>
          <w:rFonts w:ascii="Palatino Linotype" w:eastAsia="Calibri" w:hAnsi="Palatino Linotype" w:cs="Tahoma"/>
          <w:i/>
          <w:iCs/>
          <w:sz w:val="10"/>
          <w:lang w:val="es-ES" w:eastAsia="es-ES_tradnl"/>
        </w:rPr>
      </w:pPr>
    </w:p>
    <w:p w:rsidR="00DE5DF2"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9A5396">
        <w:rPr>
          <w:rFonts w:ascii="Palatino Linotype" w:hAnsi="Palatino Linotype" w:cs="Arial"/>
          <w:sz w:val="24"/>
          <w:szCs w:val="24"/>
        </w:rPr>
        <w:t>Derivado de lo transcrito con anterioridad, considero que la</w:t>
      </w:r>
      <w:r w:rsidR="00DE5DF2">
        <w:rPr>
          <w:rFonts w:ascii="Palatino Linotype" w:hAnsi="Palatino Linotype" w:cs="Arial"/>
          <w:sz w:val="24"/>
          <w:szCs w:val="24"/>
        </w:rPr>
        <w:t xml:space="preserve"> reserva de la información no es aplicable por los siguientes argumentos: </w:t>
      </w:r>
      <w:r w:rsidR="00260D6C" w:rsidRPr="009A5396">
        <w:rPr>
          <w:rFonts w:ascii="Palatino Linotype" w:hAnsi="Palatino Linotype" w:cs="Arial"/>
          <w:sz w:val="24"/>
          <w:szCs w:val="24"/>
        </w:rPr>
        <w:t xml:space="preserve"> </w:t>
      </w:r>
    </w:p>
    <w:p w:rsidR="00DE5DF2" w:rsidRPr="00A63E87" w:rsidRDefault="00DE5DF2" w:rsidP="00A63E87">
      <w:pPr>
        <w:pStyle w:val="Prrafodelista"/>
        <w:spacing w:line="240" w:lineRule="auto"/>
        <w:rPr>
          <w:rFonts w:ascii="Palatino Linotype" w:eastAsia="Calibri" w:hAnsi="Palatino Linotype" w:cs="Times New Roman"/>
          <w:sz w:val="12"/>
          <w:szCs w:val="24"/>
          <w:lang w:val="es-ES" w:eastAsia="es-ES"/>
        </w:rPr>
      </w:pPr>
    </w:p>
    <w:p w:rsidR="00A63E87" w:rsidRDefault="00A63E87" w:rsidP="00A63E87">
      <w:pPr>
        <w:pStyle w:val="Ttulo1"/>
        <w:numPr>
          <w:ilvl w:val="0"/>
          <w:numId w:val="12"/>
        </w:numPr>
        <w:spacing w:line="360" w:lineRule="auto"/>
        <w:rPr>
          <w:rFonts w:ascii="Palatino Linotype" w:hAnsi="Palatino Linotype" w:cs="Arial"/>
          <w:b/>
          <w:color w:val="auto"/>
          <w:sz w:val="24"/>
          <w:lang w:val="es-ES_tradnl"/>
        </w:rPr>
      </w:pPr>
      <w:bookmarkStart w:id="3" w:name="_Toc485899337"/>
      <w:bookmarkStart w:id="4" w:name="_Toc522281444"/>
      <w:bookmarkStart w:id="5" w:name="_Toc532811981"/>
      <w:bookmarkStart w:id="6" w:name="_Toc535830536"/>
      <w:r w:rsidRPr="00ED1DD4">
        <w:rPr>
          <w:rFonts w:ascii="Palatino Linotype" w:hAnsi="Palatino Linotype"/>
          <w:b/>
          <w:color w:val="auto"/>
          <w:sz w:val="24"/>
          <w:szCs w:val="24"/>
        </w:rPr>
        <w:t>Efectos</w:t>
      </w:r>
      <w:r w:rsidRPr="00ED1DD4">
        <w:rPr>
          <w:rFonts w:ascii="Palatino Linotype" w:hAnsi="Palatino Linotype" w:cs="Arial"/>
          <w:b/>
          <w:color w:val="auto"/>
          <w:sz w:val="24"/>
          <w:lang w:val="es-ES_tradnl"/>
        </w:rPr>
        <w:t xml:space="preserve"> de la clasificación de información</w:t>
      </w:r>
      <w:bookmarkEnd w:id="3"/>
      <w:r w:rsidRPr="00ED1DD4">
        <w:rPr>
          <w:rFonts w:ascii="Palatino Linotype" w:hAnsi="Palatino Linotype" w:cs="Arial"/>
          <w:b/>
          <w:color w:val="auto"/>
          <w:sz w:val="24"/>
          <w:lang w:val="es-ES_tradnl"/>
        </w:rPr>
        <w:t>.</w:t>
      </w:r>
      <w:bookmarkEnd w:id="4"/>
      <w:bookmarkEnd w:id="5"/>
      <w:bookmarkEnd w:id="6"/>
    </w:p>
    <w:p w:rsidR="00A63E87" w:rsidRPr="00A63E87" w:rsidRDefault="00A63E87" w:rsidP="00A63E87">
      <w:pPr>
        <w:spacing w:after="0" w:line="240" w:lineRule="auto"/>
        <w:rPr>
          <w:sz w:val="20"/>
          <w:lang w:val="es-ES_tradnl"/>
        </w:rPr>
      </w:pPr>
    </w:p>
    <w:p w:rsidR="00A63E87" w:rsidRDefault="00A63E87" w:rsidP="00A63E87">
      <w:pPr>
        <w:pStyle w:val="Prrafodelista"/>
        <w:numPr>
          <w:ilvl w:val="0"/>
          <w:numId w:val="1"/>
        </w:numPr>
        <w:spacing w:after="0" w:line="360" w:lineRule="auto"/>
        <w:ind w:left="0" w:right="-93" w:firstLine="0"/>
        <w:jc w:val="both"/>
        <w:rPr>
          <w:rFonts w:ascii="Palatino Linotype" w:hAnsi="Palatino Linotype" w:cs="Arial"/>
          <w:sz w:val="24"/>
          <w:szCs w:val="24"/>
        </w:rPr>
      </w:pPr>
      <w:r w:rsidRPr="00A63E87">
        <w:rPr>
          <w:rFonts w:ascii="Palatino Linotype" w:hAnsi="Palatino Linotype" w:cs="Arial"/>
          <w:sz w:val="24"/>
          <w:szCs w:val="24"/>
        </w:rPr>
        <w:t>Así pues, la Ponencia Resolutora determinó ordenar el Acuerdo de Clasificación como información reservada respecto de la manera en que se encuentra dividido el municipio (cuadrantes) para que la policía municipal ejerza sus funciones</w:t>
      </w:r>
      <w:r>
        <w:rPr>
          <w:rFonts w:ascii="Palatino Linotype" w:hAnsi="Palatino Linotype" w:cs="Arial"/>
          <w:sz w:val="24"/>
          <w:szCs w:val="24"/>
        </w:rPr>
        <w:t>.</w:t>
      </w:r>
      <w:r w:rsidRPr="00A63E87">
        <w:rPr>
          <w:rFonts w:ascii="Palatino Linotype" w:hAnsi="Palatino Linotype" w:cs="Arial"/>
          <w:sz w:val="24"/>
          <w:szCs w:val="24"/>
        </w:rPr>
        <w:t xml:space="preserve"> </w:t>
      </w:r>
    </w:p>
    <w:p w:rsidR="003E3055" w:rsidRPr="003E3055" w:rsidRDefault="00A63E87" w:rsidP="003E3055">
      <w:pPr>
        <w:pStyle w:val="Prrafodelista"/>
        <w:numPr>
          <w:ilvl w:val="0"/>
          <w:numId w:val="1"/>
        </w:numPr>
        <w:spacing w:after="0" w:line="360" w:lineRule="auto"/>
        <w:ind w:left="0" w:right="-93" w:firstLine="0"/>
        <w:jc w:val="both"/>
        <w:rPr>
          <w:rFonts w:ascii="Palatino Linotype" w:hAnsi="Palatino Linotype" w:cs="Arial"/>
          <w:sz w:val="24"/>
          <w:szCs w:val="24"/>
        </w:rPr>
      </w:pPr>
      <w:r w:rsidRPr="0072725A">
        <w:rPr>
          <w:rFonts w:ascii="Palatino Linotype" w:hAnsi="Palatino Linotype" w:cs="Arial"/>
          <w:sz w:val="24"/>
          <w:szCs w:val="24"/>
        </w:rPr>
        <w:t>Así pues, la Ponencia Resolutora indic</w:t>
      </w:r>
      <w:r w:rsidR="003E3055">
        <w:rPr>
          <w:rFonts w:ascii="Palatino Linotype" w:hAnsi="Palatino Linotype" w:cs="Arial"/>
          <w:sz w:val="24"/>
          <w:szCs w:val="24"/>
        </w:rPr>
        <w:t>ó</w:t>
      </w:r>
      <w:r w:rsidRPr="0072725A">
        <w:rPr>
          <w:rFonts w:ascii="Palatino Linotype" w:hAnsi="Palatino Linotype" w:cs="Arial"/>
          <w:sz w:val="24"/>
          <w:szCs w:val="24"/>
        </w:rPr>
        <w:t xml:space="preserve"> que </w:t>
      </w:r>
      <w:r w:rsidR="003E3055">
        <w:rPr>
          <w:rFonts w:ascii="Palatino Linotype" w:hAnsi="Palatino Linotype" w:cs="Arial"/>
          <w:sz w:val="24"/>
          <w:szCs w:val="24"/>
        </w:rPr>
        <w:t>el dar a conocer la</w:t>
      </w:r>
      <w:r w:rsidR="003E3055" w:rsidRPr="003E3055">
        <w:rPr>
          <w:rFonts w:ascii="Palatino Linotype" w:hAnsi="Palatino Linotype" w:cs="Arial"/>
          <w:sz w:val="24"/>
          <w:szCs w:val="24"/>
        </w:rPr>
        <w:t xml:space="preserve"> la forma en la que el Sujeto Obligado organiza el municipio (cuadrantes) para combatir o hacer frete a situaciones que ameriten la intervención de la seguridad pública, puede llegar a constituirse en un componente fundamental en el esfuerzo que realiza el Estado Mexicano para garantizar la seguridad del pa</w:t>
      </w:r>
      <w:r w:rsidR="003E3055">
        <w:rPr>
          <w:rFonts w:ascii="Palatino Linotype" w:hAnsi="Palatino Linotype" w:cs="Arial"/>
          <w:sz w:val="24"/>
          <w:szCs w:val="24"/>
        </w:rPr>
        <w:t>ís en sus diferentes vertientes; c</w:t>
      </w:r>
      <w:r w:rsidR="003E3055" w:rsidRPr="003E3055">
        <w:rPr>
          <w:rFonts w:ascii="Palatino Linotype" w:hAnsi="Palatino Linotype" w:cs="Arial"/>
          <w:sz w:val="24"/>
          <w:szCs w:val="24"/>
        </w:rPr>
        <w:t>ircunstancia que puede poner en riesgo tanto la vida e integridad física de los integrantes de los cuerpos policiacos como el modo de reacción de los elementos de seguridad pública</w:t>
      </w:r>
      <w:r w:rsidR="007E4506">
        <w:rPr>
          <w:rFonts w:ascii="Palatino Linotype" w:hAnsi="Palatino Linotype" w:cs="Arial"/>
          <w:sz w:val="24"/>
          <w:szCs w:val="24"/>
        </w:rPr>
        <w:t>.</w:t>
      </w:r>
    </w:p>
    <w:p w:rsidR="003E3055" w:rsidRPr="003E3055" w:rsidRDefault="003E3055" w:rsidP="003E3055">
      <w:pPr>
        <w:pStyle w:val="Prrafodelista"/>
        <w:spacing w:line="240" w:lineRule="auto"/>
        <w:rPr>
          <w:rFonts w:ascii="Palatino Linotype" w:hAnsi="Palatino Linotype" w:cs="Arial"/>
          <w:sz w:val="14"/>
          <w:szCs w:val="24"/>
        </w:rPr>
      </w:pPr>
    </w:p>
    <w:p w:rsidR="007E4506" w:rsidRDefault="007E4506" w:rsidP="007E4506">
      <w:pPr>
        <w:pStyle w:val="Prrafodelista"/>
        <w:numPr>
          <w:ilvl w:val="0"/>
          <w:numId w:val="1"/>
        </w:numPr>
        <w:spacing w:after="0" w:line="360" w:lineRule="auto"/>
        <w:ind w:left="0" w:right="-93" w:firstLine="0"/>
        <w:jc w:val="both"/>
        <w:rPr>
          <w:rFonts w:ascii="Palatino Linotype" w:hAnsi="Palatino Linotype" w:cs="Arial"/>
          <w:sz w:val="24"/>
          <w:szCs w:val="24"/>
        </w:rPr>
      </w:pPr>
      <w:r>
        <w:rPr>
          <w:rFonts w:ascii="Palatino Linotype" w:hAnsi="Palatino Linotype" w:cs="Arial"/>
          <w:sz w:val="24"/>
          <w:szCs w:val="24"/>
        </w:rPr>
        <w:t xml:space="preserve">En ese sentido, la Potencia Resolutora manifestó que dicha clasificación se debería de ceñir de conformidad con lo estipulado en </w:t>
      </w:r>
      <w:r w:rsidRPr="007E4506">
        <w:rPr>
          <w:rFonts w:ascii="Palatino Linotype" w:hAnsi="Palatino Linotype" w:cs="Arial"/>
          <w:sz w:val="24"/>
          <w:szCs w:val="24"/>
        </w:rPr>
        <w:t>el artículo 81 fracción III de la Ley de Seguridad del Estado de México así como el criterio número 6-09, emitido por el Instituto Nacional de Transparencia, Acceso a la Información y Protección de Datos Personales, antes (IFAI); por lo cual, se deberá de cumplir las formalidades previstas en los artículos 49 fracción VIII, 122, 125, 128, 129, 131, 132 fracción II, 133, 140 fracción IV y 141 de la Ley de Transparencia y Acceso a la Información Pública del Estado de México y Municipios.</w:t>
      </w:r>
    </w:p>
    <w:p w:rsidR="007E4506" w:rsidRPr="007E4506" w:rsidRDefault="007E4506" w:rsidP="007E4506">
      <w:pPr>
        <w:pStyle w:val="Prrafodelista"/>
        <w:rPr>
          <w:rFonts w:ascii="Palatino Linotype" w:hAnsi="Palatino Linotype" w:cs="Arial"/>
          <w:sz w:val="24"/>
          <w:szCs w:val="24"/>
        </w:rPr>
      </w:pPr>
    </w:p>
    <w:p w:rsidR="00A63E87" w:rsidRPr="0072725A" w:rsidRDefault="00A63E87" w:rsidP="00A63E87">
      <w:pPr>
        <w:pStyle w:val="Prrafodelista"/>
        <w:numPr>
          <w:ilvl w:val="0"/>
          <w:numId w:val="1"/>
        </w:numPr>
        <w:spacing w:after="0" w:line="360" w:lineRule="auto"/>
        <w:ind w:left="0" w:right="-93" w:firstLine="0"/>
        <w:jc w:val="both"/>
        <w:rPr>
          <w:rFonts w:ascii="Palatino Linotype" w:hAnsi="Palatino Linotype" w:cs="Arial"/>
          <w:sz w:val="24"/>
          <w:szCs w:val="24"/>
          <w:lang w:val="es-ES_tradnl"/>
        </w:rPr>
      </w:pPr>
      <w:r w:rsidRPr="0072725A">
        <w:rPr>
          <w:rFonts w:ascii="Palatino Linotype" w:hAnsi="Palatino Linotype" w:cs="Arial"/>
          <w:sz w:val="24"/>
          <w:szCs w:val="24"/>
          <w:lang w:val="es-ES_tradnl"/>
        </w:rPr>
        <w:t xml:space="preserve">De lo </w:t>
      </w:r>
      <w:r w:rsidRPr="0072725A">
        <w:rPr>
          <w:rFonts w:ascii="Palatino Linotype" w:hAnsi="Palatino Linotype" w:cs="Arial"/>
          <w:sz w:val="24"/>
          <w:lang w:val="es-ES_tradnl"/>
        </w:rPr>
        <w:t>anterior</w:t>
      </w:r>
      <w:r w:rsidRPr="0072725A">
        <w:rPr>
          <w:rFonts w:ascii="Palatino Linotype" w:hAnsi="Palatino Linotype" w:cs="Arial"/>
          <w:sz w:val="24"/>
          <w:szCs w:val="24"/>
          <w:lang w:val="es-ES_tradnl"/>
        </w:rPr>
        <w:t xml:space="preserve">, es menester señalar que el Instituto Nacional de Transparencia y Acceso a la </w:t>
      </w:r>
      <w:r w:rsidRPr="00A63E87">
        <w:rPr>
          <w:rFonts w:ascii="Palatino Linotype" w:hAnsi="Palatino Linotype"/>
          <w:sz w:val="24"/>
          <w:szCs w:val="24"/>
        </w:rPr>
        <w:t>Información</w:t>
      </w:r>
      <w:r w:rsidRPr="0072725A">
        <w:rPr>
          <w:rFonts w:ascii="Palatino Linotype" w:hAnsi="Palatino Linotype" w:cs="Arial"/>
          <w:sz w:val="24"/>
          <w:szCs w:val="24"/>
          <w:lang w:val="es-ES_tradnl"/>
        </w:rPr>
        <w:t xml:space="preserve"> y Protección de Datos Personales, como ejemplo en el expediente RIA 82/18, establece que para acreditar la reserva de la información, es necesario actualizar cuatro requisitos, siendo estos los siguientes:</w:t>
      </w:r>
    </w:p>
    <w:p w:rsidR="00A63E87" w:rsidRPr="008C0A8B" w:rsidRDefault="00A63E87" w:rsidP="00A63E87">
      <w:pPr>
        <w:pStyle w:val="Prrafodelista"/>
        <w:spacing w:line="240" w:lineRule="auto"/>
        <w:rPr>
          <w:rFonts w:ascii="Palatino Linotype" w:hAnsi="Palatino Linotype" w:cs="Arial"/>
          <w:sz w:val="16"/>
          <w:szCs w:val="24"/>
          <w:lang w:val="es-ES_tradnl"/>
        </w:rPr>
      </w:pPr>
    </w:p>
    <w:p w:rsidR="00A63E87" w:rsidRPr="001C3BD8" w:rsidRDefault="00A63E87" w:rsidP="00A63E87">
      <w:pPr>
        <w:pStyle w:val="Prrafodelista"/>
        <w:numPr>
          <w:ilvl w:val="0"/>
          <w:numId w:val="26"/>
        </w:numPr>
        <w:spacing w:after="0" w:line="276" w:lineRule="auto"/>
        <w:ind w:right="616"/>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 xml:space="preserve">La existencia de un juicio o procedimiento administrativo materialmente jurisdiccional. </w:t>
      </w:r>
    </w:p>
    <w:p w:rsidR="00A63E87" w:rsidRPr="001C3BD8" w:rsidRDefault="00A63E87" w:rsidP="00A63E87">
      <w:pPr>
        <w:pStyle w:val="Prrafodelista"/>
        <w:numPr>
          <w:ilvl w:val="0"/>
          <w:numId w:val="26"/>
        </w:numPr>
        <w:spacing w:after="0" w:line="276" w:lineRule="auto"/>
        <w:ind w:right="616"/>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Que el juicio se encuentre en trámite, es decir, que no haya causado estado.</w:t>
      </w:r>
    </w:p>
    <w:p w:rsidR="00A63E87" w:rsidRPr="001C3BD8" w:rsidRDefault="00A63E87" w:rsidP="00A63E87">
      <w:pPr>
        <w:pStyle w:val="Prrafodelista"/>
        <w:numPr>
          <w:ilvl w:val="0"/>
          <w:numId w:val="26"/>
        </w:numPr>
        <w:spacing w:after="0" w:line="276" w:lineRule="auto"/>
        <w:ind w:right="616"/>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 xml:space="preserve">El vínculo entre la información solicitada y el procedimiento judicial de que se trate. </w:t>
      </w:r>
    </w:p>
    <w:p w:rsidR="00A63E87" w:rsidRPr="001C3BD8" w:rsidRDefault="00A63E87" w:rsidP="00A63E87">
      <w:pPr>
        <w:pStyle w:val="Prrafodelista"/>
        <w:numPr>
          <w:ilvl w:val="0"/>
          <w:numId w:val="26"/>
        </w:numPr>
        <w:spacing w:after="0" w:line="276" w:lineRule="auto"/>
        <w:ind w:right="616"/>
        <w:jc w:val="both"/>
        <w:rPr>
          <w:rFonts w:ascii="Palatino Linotype" w:hAnsi="Palatino Linotype" w:cs="Arial"/>
          <w:b/>
          <w:sz w:val="24"/>
          <w:szCs w:val="24"/>
          <w:lang w:val="es-ES_tradnl"/>
        </w:rPr>
      </w:pPr>
      <w:r w:rsidRPr="001C3BD8">
        <w:rPr>
          <w:rFonts w:ascii="Palatino Linotype" w:hAnsi="Palatino Linotype" w:cs="Arial"/>
          <w:b/>
          <w:sz w:val="24"/>
          <w:szCs w:val="24"/>
          <w:lang w:val="es-ES_tradnl"/>
        </w:rPr>
        <w:t xml:space="preserve">Que la difusión de la información pueda causar un daño y/o perjuicio a las atribuciones del Tribunal durante el juicio, es decir, que el contenido de la información vulnere, impida u obstruya los procedimientos que se ventilan. </w:t>
      </w:r>
    </w:p>
    <w:p w:rsidR="00A63E87" w:rsidRPr="001C3BD8" w:rsidRDefault="00A63E87" w:rsidP="00A63E87">
      <w:pPr>
        <w:pStyle w:val="Prrafodelista"/>
        <w:spacing w:before="240" w:after="240" w:line="240" w:lineRule="auto"/>
        <w:ind w:left="0" w:right="49"/>
        <w:jc w:val="both"/>
        <w:rPr>
          <w:rFonts w:ascii="Palatino Linotype" w:hAnsi="Palatino Linotype" w:cs="Arial"/>
          <w:sz w:val="24"/>
          <w:szCs w:val="24"/>
          <w:lang w:val="es-ES_tradnl"/>
        </w:rPr>
      </w:pPr>
    </w:p>
    <w:p w:rsidR="00A63E87" w:rsidRPr="001C3BD8" w:rsidRDefault="00A63E87" w:rsidP="00D75099">
      <w:pPr>
        <w:pStyle w:val="Prrafodelista"/>
        <w:numPr>
          <w:ilvl w:val="0"/>
          <w:numId w:val="1"/>
        </w:numPr>
        <w:spacing w:after="0" w:line="360" w:lineRule="auto"/>
        <w:ind w:left="0" w:right="-93" w:firstLine="0"/>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Por lo que, únicamente al configurarse los mismos, es procedente la reserva de la </w:t>
      </w:r>
      <w:r w:rsidRPr="00D75099">
        <w:rPr>
          <w:rFonts w:ascii="Palatino Linotype" w:hAnsi="Palatino Linotype" w:cs="Arial"/>
          <w:sz w:val="24"/>
          <w:szCs w:val="24"/>
        </w:rPr>
        <w:t>información</w:t>
      </w:r>
      <w:r w:rsidRPr="001C3BD8">
        <w:rPr>
          <w:rFonts w:ascii="Palatino Linotype" w:hAnsi="Palatino Linotype" w:cs="Arial"/>
          <w:sz w:val="24"/>
          <w:szCs w:val="24"/>
          <w:lang w:val="es-ES_tradnl"/>
        </w:rPr>
        <w:t xml:space="preserve">, si uno de los requisitos faltase, no será en ningún momento posible su reserva. </w:t>
      </w:r>
    </w:p>
    <w:p w:rsidR="00A63E87" w:rsidRPr="00D75099" w:rsidRDefault="00A63E87" w:rsidP="00A63E87">
      <w:pPr>
        <w:pStyle w:val="Prrafodelista"/>
        <w:spacing w:before="240" w:after="240" w:line="240" w:lineRule="auto"/>
        <w:ind w:left="0" w:right="49"/>
        <w:jc w:val="both"/>
        <w:rPr>
          <w:rFonts w:ascii="Palatino Linotype" w:hAnsi="Palatino Linotype" w:cs="Arial"/>
          <w:sz w:val="18"/>
          <w:szCs w:val="24"/>
          <w:lang w:val="es-ES_tradnl"/>
        </w:rPr>
      </w:pPr>
    </w:p>
    <w:p w:rsidR="00A63E87" w:rsidRPr="001C3BD8" w:rsidRDefault="00A63E87" w:rsidP="00D75099">
      <w:pPr>
        <w:pStyle w:val="Prrafodelista"/>
        <w:numPr>
          <w:ilvl w:val="0"/>
          <w:numId w:val="1"/>
        </w:numPr>
        <w:spacing w:after="0" w:line="360" w:lineRule="auto"/>
        <w:ind w:left="0" w:right="-93" w:firstLine="0"/>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Del </w:t>
      </w:r>
      <w:r w:rsidRPr="00440A94">
        <w:rPr>
          <w:rFonts w:ascii="Palatino Linotype" w:hAnsi="Palatino Linotype" w:cs="Arial"/>
          <w:sz w:val="24"/>
          <w:lang w:val="es-ES_tradnl"/>
        </w:rPr>
        <w:t>expediente</w:t>
      </w:r>
      <w:r w:rsidRPr="001C3BD8">
        <w:rPr>
          <w:rFonts w:ascii="Palatino Linotype" w:hAnsi="Palatino Linotype" w:cs="Arial"/>
          <w:sz w:val="24"/>
          <w:szCs w:val="24"/>
          <w:lang w:val="es-ES_tradnl"/>
        </w:rPr>
        <w:t xml:space="preserve">, objeto de mi presente voto, advierto que del estudio minucioso de la resolución dictada por la ponencia resolutoria, se desprende lo siguiente: </w:t>
      </w:r>
    </w:p>
    <w:p w:rsidR="00A63E87" w:rsidRPr="0072725A" w:rsidRDefault="00A63E87" w:rsidP="00A63E87">
      <w:pPr>
        <w:pStyle w:val="Prrafodelista"/>
        <w:spacing w:line="240" w:lineRule="auto"/>
        <w:rPr>
          <w:rFonts w:ascii="Palatino Linotype" w:hAnsi="Palatino Linotype" w:cs="Arial"/>
          <w:sz w:val="14"/>
          <w:szCs w:val="24"/>
          <w:lang w:val="es-ES_tradnl"/>
        </w:rPr>
      </w:pPr>
    </w:p>
    <w:p w:rsidR="00A63E87" w:rsidRDefault="00A63E87" w:rsidP="00A63E87">
      <w:pPr>
        <w:pStyle w:val="Prrafodelista"/>
        <w:numPr>
          <w:ilvl w:val="0"/>
          <w:numId w:val="25"/>
        </w:numPr>
        <w:spacing w:before="240" w:after="240" w:line="360" w:lineRule="auto"/>
        <w:ind w:left="567" w:right="616" w:hanging="11"/>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El Sujeto Obligado</w:t>
      </w:r>
      <w:r>
        <w:rPr>
          <w:rFonts w:ascii="Palatino Linotype" w:hAnsi="Palatino Linotype" w:cs="Arial"/>
          <w:sz w:val="24"/>
          <w:szCs w:val="24"/>
          <w:lang w:val="es-ES_tradnl"/>
        </w:rPr>
        <w:t xml:space="preserve"> </w:t>
      </w:r>
      <w:r w:rsidR="00D75099">
        <w:rPr>
          <w:rFonts w:ascii="Palatino Linotype" w:hAnsi="Palatino Linotype" w:cs="Arial"/>
          <w:sz w:val="24"/>
          <w:szCs w:val="24"/>
          <w:lang w:val="es-ES_tradnl"/>
        </w:rPr>
        <w:t>realizó la correcta reserva de</w:t>
      </w:r>
      <w:r w:rsidRPr="001C3BD8">
        <w:rPr>
          <w:rFonts w:ascii="Palatino Linotype" w:hAnsi="Palatino Linotype" w:cs="Arial"/>
          <w:sz w:val="24"/>
          <w:szCs w:val="24"/>
          <w:lang w:val="es-ES_tradnl"/>
        </w:rPr>
        <w:t xml:space="preserve"> la información</w:t>
      </w:r>
      <w:r>
        <w:rPr>
          <w:rFonts w:ascii="Palatino Linotype" w:hAnsi="Palatino Linotype" w:cs="Arial"/>
          <w:sz w:val="24"/>
          <w:szCs w:val="24"/>
          <w:lang w:val="es-ES_tradnl"/>
        </w:rPr>
        <w:t>.</w:t>
      </w:r>
    </w:p>
    <w:p w:rsidR="00A63E87" w:rsidRPr="001C3BD8" w:rsidRDefault="00A63E87" w:rsidP="00A63E87">
      <w:pPr>
        <w:pStyle w:val="Prrafodelista"/>
        <w:numPr>
          <w:ilvl w:val="0"/>
          <w:numId w:val="25"/>
        </w:numPr>
        <w:spacing w:before="240" w:after="240" w:line="360" w:lineRule="auto"/>
        <w:ind w:left="567" w:right="616" w:hanging="11"/>
        <w:jc w:val="both"/>
        <w:rPr>
          <w:rFonts w:ascii="Palatino Linotype" w:hAnsi="Palatino Linotype" w:cs="Arial"/>
          <w:sz w:val="24"/>
          <w:szCs w:val="24"/>
          <w:lang w:val="es-ES_tradnl"/>
        </w:rPr>
      </w:pPr>
      <w:r>
        <w:rPr>
          <w:rFonts w:ascii="Palatino Linotype" w:hAnsi="Palatino Linotype" w:cs="Arial"/>
          <w:sz w:val="24"/>
          <w:szCs w:val="24"/>
          <w:lang w:val="es-ES_tradnl"/>
        </w:rPr>
        <w:t>La Ponencia resolutora es quien indica que en caso de que el Sujeto Obligado lo considere, deberá de reservar la información, empero lo anterior, no se analizó</w:t>
      </w:r>
      <w:r w:rsidRPr="001C3BD8">
        <w:rPr>
          <w:rFonts w:ascii="Palatino Linotype" w:hAnsi="Palatino Linotype" w:cs="Arial"/>
          <w:sz w:val="24"/>
          <w:szCs w:val="24"/>
          <w:lang w:val="es-ES_tradnl"/>
        </w:rPr>
        <w:t xml:space="preserve"> la naturaleza de la misma, sin ajustar las circunstancias de modo tiempo y lugar a la hip</w:t>
      </w:r>
      <w:r>
        <w:rPr>
          <w:rFonts w:ascii="Palatino Linotype" w:hAnsi="Palatino Linotype" w:cs="Arial"/>
          <w:sz w:val="24"/>
          <w:szCs w:val="24"/>
          <w:lang w:val="es-ES_tradnl"/>
        </w:rPr>
        <w:t>ótesis que configura la reserva.</w:t>
      </w:r>
    </w:p>
    <w:p w:rsidR="00A63E87" w:rsidRDefault="00A63E87" w:rsidP="00A63E87">
      <w:pPr>
        <w:pStyle w:val="Prrafodelista"/>
        <w:numPr>
          <w:ilvl w:val="0"/>
          <w:numId w:val="25"/>
        </w:numPr>
        <w:spacing w:before="240" w:after="240" w:line="360" w:lineRule="auto"/>
        <w:ind w:left="567" w:right="616" w:hanging="11"/>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No se garantizó el principio de máxima publicidad. </w:t>
      </w:r>
    </w:p>
    <w:p w:rsidR="00A63E87" w:rsidRPr="001C3BD8" w:rsidRDefault="00A63E87" w:rsidP="00D75099">
      <w:pPr>
        <w:pStyle w:val="Prrafodelista"/>
        <w:numPr>
          <w:ilvl w:val="0"/>
          <w:numId w:val="1"/>
        </w:numPr>
        <w:spacing w:after="0" w:line="360" w:lineRule="auto"/>
        <w:ind w:left="0" w:right="-93" w:firstLine="0"/>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De lo </w:t>
      </w:r>
      <w:r w:rsidRPr="00D75099">
        <w:rPr>
          <w:rFonts w:ascii="Palatino Linotype" w:hAnsi="Palatino Linotype" w:cs="Arial"/>
          <w:sz w:val="24"/>
          <w:szCs w:val="24"/>
          <w:lang w:val="es-ES_tradnl"/>
        </w:rPr>
        <w:t>anterior</w:t>
      </w:r>
      <w:r w:rsidRPr="001C3BD8">
        <w:rPr>
          <w:rFonts w:ascii="Palatino Linotype" w:hAnsi="Palatino Linotype" w:cs="Arial"/>
          <w:sz w:val="24"/>
          <w:szCs w:val="24"/>
          <w:lang w:val="es-ES_tradnl"/>
        </w:rPr>
        <w:t>, se  entiende que en ningún momento el Sujeto Obligado estudió ni abordó las cuatro fases de reserva y a consecuencia no realizó una prueba de daño debidamente fundamentada ni motivada, tal como lo establece la fracción X del artículo 140 de la Ley de Transparencia y Acceso a la Información Pública del Es</w:t>
      </w:r>
      <w:r>
        <w:rPr>
          <w:rFonts w:ascii="Palatino Linotype" w:hAnsi="Palatino Linotype" w:cs="Arial"/>
          <w:sz w:val="24"/>
          <w:szCs w:val="24"/>
          <w:lang w:val="es-ES_tradnl"/>
        </w:rPr>
        <w:t>tado de México.</w:t>
      </w:r>
    </w:p>
    <w:p w:rsidR="00A63E87" w:rsidRPr="006D278C" w:rsidRDefault="00A63E87" w:rsidP="00A63E87">
      <w:pPr>
        <w:pStyle w:val="Prrafodelista"/>
        <w:spacing w:line="240" w:lineRule="auto"/>
        <w:ind w:left="0" w:right="49"/>
        <w:jc w:val="both"/>
        <w:rPr>
          <w:rFonts w:ascii="Palatino Linotype" w:hAnsi="Palatino Linotype" w:cs="Arial"/>
          <w:szCs w:val="24"/>
          <w:lang w:val="es-ES_tradnl"/>
        </w:rPr>
      </w:pPr>
    </w:p>
    <w:p w:rsidR="00A63E87" w:rsidRPr="001C3BD8" w:rsidRDefault="00A63E87" w:rsidP="00D75099">
      <w:pPr>
        <w:pStyle w:val="Prrafodelista"/>
        <w:numPr>
          <w:ilvl w:val="0"/>
          <w:numId w:val="1"/>
        </w:numPr>
        <w:spacing w:after="0" w:line="360" w:lineRule="auto"/>
        <w:ind w:left="0" w:right="-93" w:firstLine="0"/>
        <w:jc w:val="both"/>
        <w:rPr>
          <w:rFonts w:ascii="Palatino Linotype" w:hAnsi="Palatino Linotype" w:cs="Arial"/>
          <w:sz w:val="24"/>
          <w:szCs w:val="24"/>
          <w:lang w:val="es-ES_tradnl"/>
        </w:rPr>
      </w:pPr>
      <w:r w:rsidRPr="001C3BD8">
        <w:rPr>
          <w:rFonts w:ascii="Palatino Linotype" w:hAnsi="Palatino Linotype" w:cs="Arial"/>
          <w:sz w:val="24"/>
          <w:szCs w:val="24"/>
          <w:lang w:val="es-ES_tradnl"/>
        </w:rPr>
        <w:t xml:space="preserve">Respecto al análisis realizado por la Ponencia Resolutora tampoco analizó debidamente tales circunstancias, solamente se constriñe a señalar que la información pública en posesión de los sujetos obligados, debe de ser entregada a los particulares para su </w:t>
      </w:r>
      <w:r w:rsidRPr="0091008E">
        <w:rPr>
          <w:rFonts w:ascii="Palatino Linotype" w:hAnsi="Palatino Linotype" w:cs="Arial"/>
          <w:sz w:val="24"/>
          <w:szCs w:val="24"/>
        </w:rPr>
        <w:t>conocimiento</w:t>
      </w:r>
      <w:r w:rsidRPr="001C3BD8">
        <w:rPr>
          <w:rFonts w:ascii="Palatino Linotype" w:hAnsi="Palatino Linotype" w:cs="Arial"/>
          <w:sz w:val="24"/>
          <w:szCs w:val="24"/>
          <w:lang w:val="es-ES_tradnl"/>
        </w:rPr>
        <w:t xml:space="preserve">, a menos que se actualicen las limitantes para restringir su acceso, sin embargo, su estudio no tocó los alcances de la figura de la reserva, ni los requisitos para su configuración, en razón de que en ningún momento se pronuncia respecto a tal circunstancia, manteniendo dicha postura y estudio en el mismo sentido. </w:t>
      </w:r>
    </w:p>
    <w:p w:rsidR="00A63E87" w:rsidRPr="00D75099" w:rsidRDefault="00A63E87" w:rsidP="00D75099">
      <w:pPr>
        <w:pStyle w:val="Prrafodelista"/>
        <w:spacing w:line="240" w:lineRule="auto"/>
        <w:rPr>
          <w:rFonts w:ascii="Palatino Linotype" w:hAnsi="Palatino Linotype" w:cs="Arial"/>
          <w:sz w:val="12"/>
          <w:szCs w:val="24"/>
          <w:lang w:val="es-ES_tradnl"/>
        </w:rPr>
      </w:pPr>
    </w:p>
    <w:p w:rsidR="00DE5DF2" w:rsidRDefault="00DE5DF2" w:rsidP="00DE5DF2">
      <w:pPr>
        <w:pStyle w:val="Ttulo1"/>
        <w:numPr>
          <w:ilvl w:val="0"/>
          <w:numId w:val="12"/>
        </w:numPr>
        <w:spacing w:line="360" w:lineRule="auto"/>
        <w:rPr>
          <w:rFonts w:ascii="Palatino Linotype" w:hAnsi="Palatino Linotype"/>
          <w:b/>
          <w:color w:val="auto"/>
          <w:sz w:val="24"/>
          <w:szCs w:val="24"/>
        </w:rPr>
      </w:pPr>
      <w:bookmarkStart w:id="7" w:name="_Toc535830537"/>
      <w:r w:rsidRPr="00DE5DF2">
        <w:rPr>
          <w:rFonts w:ascii="Palatino Linotype" w:hAnsi="Palatino Linotype"/>
          <w:b/>
          <w:color w:val="auto"/>
          <w:sz w:val="24"/>
          <w:szCs w:val="24"/>
        </w:rPr>
        <w:t>De la información que no es susceptible de clasificarse</w:t>
      </w:r>
      <w:r w:rsidRPr="00072966">
        <w:rPr>
          <w:rFonts w:ascii="Palatino Linotype" w:hAnsi="Palatino Linotype"/>
          <w:b/>
          <w:color w:val="auto"/>
          <w:sz w:val="24"/>
          <w:szCs w:val="24"/>
        </w:rPr>
        <w:t>.</w:t>
      </w:r>
      <w:bookmarkEnd w:id="7"/>
    </w:p>
    <w:p w:rsidR="00DE5DF2" w:rsidRPr="00D75099" w:rsidRDefault="00DE5DF2" w:rsidP="00DE5DF2">
      <w:pPr>
        <w:pStyle w:val="Prrafodelista"/>
        <w:rPr>
          <w:rFonts w:ascii="Palatino Linotype" w:eastAsia="Calibri" w:hAnsi="Palatino Linotype" w:cs="Times New Roman"/>
          <w:sz w:val="14"/>
          <w:szCs w:val="24"/>
          <w:lang w:val="es-ES" w:eastAsia="es-ES"/>
        </w:rPr>
      </w:pPr>
    </w:p>
    <w:p w:rsidR="0091008E" w:rsidRPr="0091008E" w:rsidRDefault="0046491C" w:rsidP="005D6E0E">
      <w:pPr>
        <w:pStyle w:val="Prrafodelista"/>
        <w:numPr>
          <w:ilvl w:val="0"/>
          <w:numId w:val="1"/>
        </w:numPr>
        <w:spacing w:after="0" w:line="360" w:lineRule="auto"/>
        <w:ind w:left="0" w:right="-93" w:firstLine="0"/>
        <w:jc w:val="both"/>
        <w:rPr>
          <w:rFonts w:ascii="Palatino Linotype" w:hAnsi="Palatino Linotype" w:cs="Arial"/>
          <w:sz w:val="24"/>
          <w:szCs w:val="24"/>
        </w:rPr>
      </w:pPr>
      <w:r w:rsidRPr="0091008E">
        <w:rPr>
          <w:rFonts w:ascii="Palatino Linotype" w:eastAsia="Calibri" w:hAnsi="Palatino Linotype" w:cs="Times New Roman"/>
          <w:sz w:val="24"/>
          <w:szCs w:val="24"/>
          <w:lang w:val="es-ES" w:eastAsia="es-ES"/>
        </w:rPr>
        <w:t xml:space="preserve">En el presente </w:t>
      </w:r>
      <w:r w:rsidRPr="0091008E">
        <w:rPr>
          <w:rFonts w:ascii="Palatino Linotype" w:hAnsi="Palatino Linotype" w:cs="Arial"/>
          <w:sz w:val="24"/>
          <w:szCs w:val="24"/>
          <w:lang w:val="es-ES_tradnl"/>
        </w:rPr>
        <w:t>asunto</w:t>
      </w:r>
      <w:r w:rsidRPr="0091008E">
        <w:rPr>
          <w:rFonts w:ascii="Palatino Linotype" w:eastAsia="Calibri" w:hAnsi="Palatino Linotype" w:cs="Times New Roman"/>
          <w:sz w:val="24"/>
          <w:szCs w:val="24"/>
          <w:lang w:val="es-ES" w:eastAsia="es-ES"/>
        </w:rPr>
        <w:t xml:space="preserve"> que nos ocupa, es de señalar que del análisis hecho a la resolución en comento, no se discute que el </w:t>
      </w:r>
      <w:r w:rsidR="009A640A" w:rsidRPr="0091008E">
        <w:rPr>
          <w:rFonts w:ascii="Palatino Linotype" w:eastAsia="Calibri" w:hAnsi="Palatino Linotype" w:cs="Times New Roman"/>
          <w:sz w:val="24"/>
          <w:szCs w:val="24"/>
          <w:lang w:val="es-ES" w:eastAsia="es-ES"/>
        </w:rPr>
        <w:t xml:space="preserve">Sujeto Obligado </w:t>
      </w:r>
      <w:r w:rsidRPr="0091008E">
        <w:rPr>
          <w:rFonts w:ascii="Palatino Linotype" w:eastAsia="Calibri" w:hAnsi="Palatino Linotype" w:cs="Times New Roman"/>
          <w:sz w:val="24"/>
          <w:szCs w:val="24"/>
          <w:lang w:val="es-ES" w:eastAsia="es-ES"/>
        </w:rPr>
        <w:t>ha dado respuesta a la solicitud de información</w:t>
      </w:r>
      <w:r w:rsidR="00D75099" w:rsidRPr="0091008E">
        <w:rPr>
          <w:rFonts w:ascii="Palatino Linotype" w:eastAsia="Calibri" w:hAnsi="Palatino Linotype" w:cs="Times New Roman"/>
          <w:sz w:val="24"/>
          <w:szCs w:val="24"/>
          <w:lang w:val="es-ES" w:eastAsia="es-ES"/>
        </w:rPr>
        <w:t xml:space="preserve">, empero no acreditó la reserva de la información que hoy nos atañe; en ese sentido </w:t>
      </w:r>
      <w:r w:rsidR="00260D6C" w:rsidRPr="0091008E">
        <w:rPr>
          <w:rFonts w:ascii="Palatino Linotype" w:eastAsia="Calibri" w:hAnsi="Palatino Linotype" w:cs="Times New Roman"/>
          <w:sz w:val="24"/>
          <w:szCs w:val="24"/>
          <w:lang w:val="es-ES" w:eastAsia="es-ES"/>
        </w:rPr>
        <w:t xml:space="preserve">en mi parecer </w:t>
      </w:r>
      <w:r w:rsidRPr="0091008E">
        <w:rPr>
          <w:rFonts w:ascii="Palatino Linotype" w:eastAsia="Calibri" w:hAnsi="Palatino Linotype" w:cs="Times New Roman"/>
          <w:sz w:val="24"/>
          <w:szCs w:val="24"/>
          <w:lang w:val="es-ES" w:eastAsia="es-ES"/>
        </w:rPr>
        <w:t xml:space="preserve">considero, es </w:t>
      </w:r>
      <w:r w:rsidR="009A640A" w:rsidRPr="0091008E">
        <w:rPr>
          <w:rFonts w:ascii="Palatino Linotype" w:eastAsia="Calibri" w:hAnsi="Palatino Linotype" w:cs="Times New Roman"/>
          <w:sz w:val="24"/>
          <w:szCs w:val="24"/>
          <w:lang w:val="es-ES" w:eastAsia="es-ES"/>
        </w:rPr>
        <w:t xml:space="preserve">necesario realizar un análisis profundo de sí la </w:t>
      </w:r>
      <w:r w:rsidR="009A640A" w:rsidRPr="0091008E">
        <w:rPr>
          <w:rFonts w:ascii="Palatino Linotype" w:hAnsi="Palatino Linotype" w:cs="Arial"/>
          <w:sz w:val="24"/>
          <w:szCs w:val="24"/>
        </w:rPr>
        <w:t>información</w:t>
      </w:r>
      <w:r w:rsidR="009A640A" w:rsidRPr="0091008E">
        <w:rPr>
          <w:rFonts w:ascii="Palatino Linotype" w:eastAsia="Calibri" w:hAnsi="Palatino Linotype" w:cs="Times New Roman"/>
          <w:sz w:val="24"/>
          <w:szCs w:val="24"/>
          <w:lang w:val="es-ES" w:eastAsia="es-ES"/>
        </w:rPr>
        <w:t xml:space="preserve"> es susceptible de ser clasificada o no,  ya que </w:t>
      </w:r>
      <w:r w:rsidR="00194B6A" w:rsidRPr="0091008E">
        <w:rPr>
          <w:rFonts w:ascii="Palatino Linotype" w:eastAsia="Calibri" w:hAnsi="Palatino Linotype" w:cs="Times New Roman"/>
          <w:sz w:val="24"/>
          <w:szCs w:val="24"/>
          <w:lang w:val="es-ES" w:eastAsia="es-ES"/>
        </w:rPr>
        <w:t xml:space="preserve">éste </w:t>
      </w:r>
      <w:r w:rsidR="009A640A" w:rsidRPr="0091008E">
        <w:rPr>
          <w:rFonts w:ascii="Palatino Linotype" w:eastAsia="Calibri" w:hAnsi="Palatino Linotype" w:cs="Times New Roman"/>
          <w:sz w:val="24"/>
          <w:szCs w:val="24"/>
          <w:lang w:val="es-ES" w:eastAsia="es-ES"/>
        </w:rPr>
        <w:t xml:space="preserve">Instituto </w:t>
      </w:r>
      <w:r w:rsidR="00194B6A" w:rsidRPr="0091008E">
        <w:rPr>
          <w:rFonts w:ascii="Palatino Linotype" w:eastAsia="Calibri" w:hAnsi="Palatino Linotype" w:cs="Times New Roman"/>
          <w:sz w:val="24"/>
          <w:szCs w:val="24"/>
          <w:lang w:val="es-ES" w:eastAsia="es-ES"/>
        </w:rPr>
        <w:t xml:space="preserve">como </w:t>
      </w:r>
      <w:r w:rsidR="009A640A" w:rsidRPr="0091008E">
        <w:rPr>
          <w:rFonts w:ascii="Palatino Linotype" w:eastAsia="Calibri" w:hAnsi="Palatino Linotype" w:cs="Times New Roman"/>
          <w:sz w:val="24"/>
          <w:szCs w:val="24"/>
          <w:lang w:val="es-ES" w:eastAsia="es-ES"/>
        </w:rPr>
        <w:t>Órgano Garante</w:t>
      </w:r>
      <w:r w:rsidR="00194B6A" w:rsidRPr="0091008E">
        <w:rPr>
          <w:rFonts w:ascii="Palatino Linotype" w:eastAsia="Calibri" w:hAnsi="Palatino Linotype" w:cs="Times New Roman"/>
          <w:sz w:val="24"/>
          <w:szCs w:val="24"/>
          <w:lang w:val="es-ES" w:eastAsia="es-ES"/>
        </w:rPr>
        <w:t xml:space="preserve">, </w:t>
      </w:r>
      <w:r w:rsidR="009A640A" w:rsidRPr="0091008E">
        <w:rPr>
          <w:rFonts w:ascii="Palatino Linotype" w:eastAsia="Calibri" w:hAnsi="Palatino Linotype" w:cs="Times New Roman"/>
          <w:sz w:val="24"/>
          <w:szCs w:val="24"/>
          <w:lang w:val="es-ES" w:eastAsia="es-ES"/>
        </w:rPr>
        <w:t xml:space="preserve">tiene como </w:t>
      </w:r>
      <w:r w:rsidR="00194B6A" w:rsidRPr="0091008E">
        <w:rPr>
          <w:rFonts w:ascii="Palatino Linotype" w:eastAsia="Calibri" w:hAnsi="Palatino Linotype" w:cs="Times New Roman"/>
          <w:sz w:val="24"/>
          <w:szCs w:val="24"/>
          <w:lang w:val="es-ES" w:eastAsia="es-ES"/>
        </w:rPr>
        <w:t>deber</w:t>
      </w:r>
      <w:r w:rsidR="0084393B" w:rsidRPr="0091008E">
        <w:rPr>
          <w:rFonts w:ascii="Palatino Linotype" w:eastAsia="Calibri" w:hAnsi="Palatino Linotype" w:cs="Times New Roman"/>
          <w:sz w:val="24"/>
          <w:szCs w:val="24"/>
          <w:lang w:val="es-ES" w:eastAsia="es-ES"/>
        </w:rPr>
        <w:t xml:space="preserve"> el</w:t>
      </w:r>
      <w:r w:rsidR="00194B6A" w:rsidRPr="0091008E">
        <w:rPr>
          <w:rFonts w:ascii="Palatino Linotype" w:eastAsia="Calibri" w:hAnsi="Palatino Linotype" w:cs="Times New Roman"/>
          <w:sz w:val="24"/>
          <w:szCs w:val="24"/>
          <w:lang w:val="es-ES" w:eastAsia="es-ES"/>
        </w:rPr>
        <w:t xml:space="preserve"> velar por el cabal cumplimiento al derecho humano del acceso a la información, m</w:t>
      </w:r>
      <w:r w:rsidR="00D75099" w:rsidRPr="0091008E">
        <w:rPr>
          <w:rFonts w:ascii="Palatino Linotype" w:eastAsia="Calibri" w:hAnsi="Palatino Linotype" w:cs="Times New Roman"/>
          <w:sz w:val="24"/>
          <w:szCs w:val="24"/>
          <w:lang w:val="es-ES" w:eastAsia="es-ES"/>
        </w:rPr>
        <w:t>á</w:t>
      </w:r>
      <w:r w:rsidR="00194B6A" w:rsidRPr="0091008E">
        <w:rPr>
          <w:rFonts w:ascii="Palatino Linotype" w:eastAsia="Calibri" w:hAnsi="Palatino Linotype" w:cs="Times New Roman"/>
          <w:sz w:val="24"/>
          <w:szCs w:val="24"/>
          <w:lang w:val="es-ES" w:eastAsia="es-ES"/>
        </w:rPr>
        <w:t>s no limita</w:t>
      </w:r>
      <w:r w:rsidR="0001046D" w:rsidRPr="0091008E">
        <w:rPr>
          <w:rFonts w:ascii="Palatino Linotype" w:eastAsia="Calibri" w:hAnsi="Palatino Linotype" w:cs="Times New Roman"/>
          <w:sz w:val="24"/>
          <w:szCs w:val="24"/>
          <w:lang w:val="es-ES" w:eastAsia="es-ES"/>
        </w:rPr>
        <w:t xml:space="preserve">rlo invocando </w:t>
      </w:r>
      <w:r w:rsidR="00D75099" w:rsidRPr="0091008E">
        <w:rPr>
          <w:rFonts w:ascii="Palatino Linotype" w:eastAsia="Calibri" w:hAnsi="Palatino Linotype" w:cs="Times New Roman"/>
          <w:sz w:val="24"/>
          <w:szCs w:val="24"/>
          <w:lang w:val="es-ES" w:eastAsia="es-ES"/>
        </w:rPr>
        <w:t xml:space="preserve">la </w:t>
      </w:r>
      <w:r w:rsidR="0091008E">
        <w:rPr>
          <w:rFonts w:ascii="Palatino Linotype" w:eastAsia="Calibri" w:hAnsi="Palatino Linotype" w:cs="Times New Roman"/>
          <w:sz w:val="24"/>
          <w:szCs w:val="24"/>
          <w:lang w:val="es-ES" w:eastAsia="es-ES"/>
        </w:rPr>
        <w:t>reserva</w:t>
      </w:r>
      <w:r w:rsidR="00D75099" w:rsidRPr="0091008E">
        <w:rPr>
          <w:rFonts w:ascii="Palatino Linotype" w:eastAsia="Calibri" w:hAnsi="Palatino Linotype" w:cs="Times New Roman"/>
          <w:sz w:val="24"/>
          <w:szCs w:val="24"/>
          <w:lang w:val="es-ES" w:eastAsia="es-ES"/>
        </w:rPr>
        <w:t xml:space="preserve"> de la informaci</w:t>
      </w:r>
      <w:r w:rsidR="0091008E" w:rsidRPr="0091008E">
        <w:rPr>
          <w:rFonts w:ascii="Palatino Linotype" w:eastAsia="Calibri" w:hAnsi="Palatino Linotype" w:cs="Times New Roman"/>
          <w:sz w:val="24"/>
          <w:szCs w:val="24"/>
          <w:lang w:val="es-ES" w:eastAsia="es-ES"/>
        </w:rPr>
        <w:t>ón.</w:t>
      </w:r>
    </w:p>
    <w:p w:rsidR="0091008E" w:rsidRPr="00923FD9" w:rsidRDefault="0091008E" w:rsidP="0091008E">
      <w:pPr>
        <w:pStyle w:val="Prrafodelista"/>
        <w:spacing w:after="0" w:line="240" w:lineRule="auto"/>
        <w:ind w:left="0" w:right="-93"/>
        <w:jc w:val="both"/>
        <w:rPr>
          <w:rFonts w:ascii="Palatino Linotype" w:hAnsi="Palatino Linotype" w:cs="Arial"/>
          <w:szCs w:val="24"/>
        </w:rPr>
      </w:pPr>
    </w:p>
    <w:p w:rsidR="0046491C" w:rsidRPr="0091008E" w:rsidRDefault="0046491C" w:rsidP="005D6E0E">
      <w:pPr>
        <w:pStyle w:val="Prrafodelista"/>
        <w:numPr>
          <w:ilvl w:val="0"/>
          <w:numId w:val="1"/>
        </w:numPr>
        <w:spacing w:after="0" w:line="360" w:lineRule="auto"/>
        <w:ind w:left="0" w:right="-93" w:firstLine="0"/>
        <w:jc w:val="both"/>
        <w:rPr>
          <w:rFonts w:ascii="Palatino Linotype" w:hAnsi="Palatino Linotype" w:cs="Arial"/>
          <w:sz w:val="24"/>
          <w:szCs w:val="24"/>
        </w:rPr>
      </w:pPr>
      <w:r w:rsidRPr="0091008E">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923FD9" w:rsidRDefault="0046491C" w:rsidP="00FE6326">
      <w:pPr>
        <w:spacing w:after="0" w:line="240" w:lineRule="auto"/>
        <w:jc w:val="both"/>
        <w:rPr>
          <w:rFonts w:ascii="Palatino Linotype" w:hAnsi="Palatino Linotype" w:cs="Arial"/>
          <w:sz w:val="32"/>
          <w:szCs w:val="24"/>
        </w:rPr>
      </w:pPr>
    </w:p>
    <w:p w:rsidR="0046491C" w:rsidRPr="0007296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72966">
        <w:rPr>
          <w:rFonts w:ascii="Palatino Linotype" w:hAnsi="Palatino Linotype" w:cs="Arial"/>
          <w:b/>
          <w:sz w:val="24"/>
          <w:szCs w:val="24"/>
        </w:rPr>
        <w:t>garantía de los derechos humanos</w:t>
      </w:r>
      <w:r w:rsidRPr="00072966">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72966" w:rsidRDefault="0046491C" w:rsidP="00FE6326">
      <w:pPr>
        <w:spacing w:after="0" w:line="240" w:lineRule="auto"/>
        <w:jc w:val="both"/>
        <w:rPr>
          <w:rFonts w:ascii="Palatino Linotype" w:hAnsi="Palatino Linotype" w:cs="Arial"/>
          <w:sz w:val="24"/>
          <w:szCs w:val="24"/>
        </w:rPr>
      </w:pPr>
    </w:p>
    <w:p w:rsidR="0046491C"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En este sentido el Dr. Miguel Carbonell ha señalado que:</w:t>
      </w:r>
    </w:p>
    <w:p w:rsidR="00FE6326" w:rsidRPr="00FE6326" w:rsidRDefault="00FE6326" w:rsidP="00166140">
      <w:pPr>
        <w:pStyle w:val="Prrafodelista"/>
        <w:spacing w:after="0" w:line="240" w:lineRule="auto"/>
        <w:ind w:left="0"/>
        <w:jc w:val="both"/>
        <w:rPr>
          <w:rFonts w:ascii="Palatino Linotype" w:hAnsi="Palatino Linotype" w:cs="Arial"/>
          <w:sz w:val="10"/>
          <w:szCs w:val="24"/>
        </w:rPr>
      </w:pPr>
    </w:p>
    <w:p w:rsidR="0046491C" w:rsidRPr="00166140" w:rsidRDefault="0046491C" w:rsidP="00166140">
      <w:pPr>
        <w:spacing w:after="240" w:line="276" w:lineRule="auto"/>
        <w:ind w:left="567" w:right="616"/>
        <w:jc w:val="both"/>
        <w:rPr>
          <w:rFonts w:ascii="Palatino Linotype" w:hAnsi="Palatino Linotype" w:cs="Arial"/>
          <w:i/>
        </w:rPr>
      </w:pPr>
      <w:r w:rsidRPr="00166140">
        <w:rPr>
          <w:rFonts w:ascii="Palatino Linotype" w:hAnsi="Palatino Linotype" w:cs="Arial"/>
          <w:i/>
        </w:rPr>
        <w:t xml:space="preserve">“Queda claro, </w:t>
      </w:r>
      <w:r w:rsidRPr="00166140">
        <w:rPr>
          <w:rFonts w:ascii="Palatino Linotype" w:eastAsia="Calibri" w:hAnsi="Palatino Linotype" w:cs="Tahoma"/>
          <w:i/>
          <w:iCs/>
          <w:lang w:val="es-ES" w:eastAsia="es-ES_tradnl"/>
        </w:rPr>
        <w:t>en</w:t>
      </w:r>
      <w:r w:rsidRPr="00166140">
        <w:rPr>
          <w:rFonts w:ascii="Palatino Linotype" w:hAnsi="Palatino Linotype" w:cs="Arial"/>
          <w:i/>
        </w:rPr>
        <w:t xml:space="preserve"> consecuencia, que las obligaciones de promoción, respeto, protección y garantía de los derechos corren a cargo de todos los poderes, incluso </w:t>
      </w:r>
      <w:r w:rsidRPr="00166140">
        <w:rPr>
          <w:rFonts w:ascii="Palatino Linotype" w:hAnsi="Palatino Linotype" w:cs="Arial"/>
          <w:b/>
          <w:i/>
        </w:rPr>
        <w:t>considerando que algún nivel de gobierno tenga obligaciones reforzadas hacia ciertos derechos.</w:t>
      </w:r>
      <w:r w:rsidRPr="00166140">
        <w:rPr>
          <w:rFonts w:ascii="Palatino Linotype" w:hAnsi="Palatino Linotype" w:cs="Arial"/>
          <w:i/>
        </w:rPr>
        <w:t xml:space="preserve"> A partir de tales deberes generales, podemos afirmar que las autoridades de todos los niveles de gobierno también tienen la obligación positiva de </w:t>
      </w:r>
      <w:r w:rsidRPr="00166140">
        <w:rPr>
          <w:rFonts w:ascii="Palatino Linotype" w:hAnsi="Palatino Linotype" w:cs="Arial"/>
          <w:b/>
          <w:i/>
        </w:rPr>
        <w:t>tomar todas las medidas que sean pertinentes para tutelar y hacer eficaz un derecho</w:t>
      </w:r>
      <w:r w:rsidRPr="00166140">
        <w:rPr>
          <w:rFonts w:ascii="Palatino Linotype" w:hAnsi="Palatino Linotype" w:cs="Arial"/>
          <w:i/>
        </w:rPr>
        <w:t>”.</w:t>
      </w:r>
      <w:r w:rsidRPr="00166140">
        <w:rPr>
          <w:rStyle w:val="Refdenotaalpie"/>
          <w:rFonts w:ascii="Palatino Linotype" w:hAnsi="Palatino Linotype" w:cs="Arial"/>
          <w:i/>
        </w:rPr>
        <w:footnoteReference w:id="1"/>
      </w:r>
    </w:p>
    <w:p w:rsidR="00FE6326" w:rsidRPr="00923FD9" w:rsidRDefault="00FE6326" w:rsidP="00166140">
      <w:pPr>
        <w:pStyle w:val="Prrafodelista"/>
        <w:spacing w:after="0" w:line="240" w:lineRule="auto"/>
        <w:ind w:left="426"/>
        <w:jc w:val="both"/>
        <w:rPr>
          <w:rFonts w:ascii="Palatino Linotype" w:hAnsi="Palatino Linotype" w:cs="Arial"/>
          <w:sz w:val="16"/>
        </w:rPr>
      </w:pPr>
    </w:p>
    <w:p w:rsidR="0046491C" w:rsidRPr="0091008E" w:rsidRDefault="0046491C" w:rsidP="0091008E">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 xml:space="preserve"> Por lo que restringir el derecho de acceso a la información pública del particular</w:t>
      </w:r>
      <w:r w:rsidR="0091008E">
        <w:rPr>
          <w:rFonts w:ascii="Palatino Linotype" w:hAnsi="Palatino Linotype" w:cs="Arial"/>
          <w:sz w:val="24"/>
          <w:szCs w:val="24"/>
        </w:rPr>
        <w:t xml:space="preserve">, en este caso, la reserva de la información, </w:t>
      </w:r>
      <w:r w:rsidRPr="0091008E">
        <w:rPr>
          <w:rFonts w:ascii="Palatino Linotype" w:hAnsi="Palatino Linotype" w:cs="Arial"/>
          <w:sz w:val="24"/>
          <w:szCs w:val="24"/>
        </w:rPr>
        <w:t>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72966" w:rsidRDefault="0046491C" w:rsidP="00FE6326">
      <w:pPr>
        <w:pStyle w:val="Prrafodelista"/>
        <w:spacing w:line="240" w:lineRule="auto"/>
        <w:jc w:val="both"/>
        <w:rPr>
          <w:rFonts w:ascii="Palatino Linotype" w:hAnsi="Palatino Linotype" w:cs="Arial"/>
          <w:sz w:val="24"/>
          <w:szCs w:val="24"/>
        </w:rPr>
      </w:pPr>
    </w:p>
    <w:p w:rsidR="0046491C" w:rsidRPr="009A539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9A5396">
        <w:rPr>
          <w:rFonts w:ascii="Palatino Linotype" w:hAnsi="Palatino Linotype" w:cs="Arial"/>
          <w:sz w:val="24"/>
          <w:szCs w:val="24"/>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9A5396">
        <w:rPr>
          <w:rStyle w:val="Refdenotaalpie"/>
          <w:rFonts w:ascii="Palatino Linotype" w:hAnsi="Palatino Linotype" w:cs="Arial"/>
          <w:sz w:val="24"/>
          <w:szCs w:val="24"/>
        </w:rPr>
        <w:footnoteReference w:id="2"/>
      </w:r>
      <w:r w:rsidRPr="009A5396">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9A5396" w:rsidRDefault="0046491C" w:rsidP="00FE6326">
      <w:pPr>
        <w:pStyle w:val="Prrafodelista"/>
        <w:spacing w:line="240" w:lineRule="auto"/>
        <w:jc w:val="both"/>
        <w:rPr>
          <w:rFonts w:ascii="Palatino Linotype" w:hAnsi="Palatino Linotype" w:cs="Arial"/>
          <w:sz w:val="24"/>
          <w:szCs w:val="24"/>
        </w:rPr>
      </w:pPr>
    </w:p>
    <w:p w:rsidR="00FE632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9A5396">
        <w:rPr>
          <w:rFonts w:ascii="Palatino Linotype" w:hAnsi="Palatino Linotype" w:cs="Arial"/>
          <w:sz w:val="24"/>
          <w:szCs w:val="24"/>
        </w:rPr>
        <w:t xml:space="preserve"> Mucho menos si consideramos el siguiente criterio: </w:t>
      </w:r>
    </w:p>
    <w:p w:rsidR="00FE6326" w:rsidRPr="00FE6326" w:rsidRDefault="00FE6326" w:rsidP="00FE6326">
      <w:pPr>
        <w:pStyle w:val="Prrafodelista"/>
        <w:spacing w:after="0" w:line="240" w:lineRule="auto"/>
        <w:rPr>
          <w:rFonts w:ascii="Palatino Linotype" w:hAnsi="Palatino Linotype" w:cs="Arial"/>
          <w:sz w:val="6"/>
          <w:szCs w:val="24"/>
        </w:rPr>
      </w:pPr>
    </w:p>
    <w:p w:rsidR="0046491C" w:rsidRPr="009A5396" w:rsidRDefault="0046491C" w:rsidP="00166140">
      <w:pPr>
        <w:spacing w:after="240" w:line="276" w:lineRule="auto"/>
        <w:ind w:left="567" w:right="616"/>
        <w:jc w:val="both"/>
        <w:rPr>
          <w:rFonts w:ascii="Palatino Linotype" w:hAnsi="Palatino Linotype" w:cs="Arial"/>
          <w:sz w:val="24"/>
          <w:szCs w:val="24"/>
        </w:rPr>
      </w:pPr>
      <w:r w:rsidRPr="00FE6326">
        <w:rPr>
          <w:rFonts w:ascii="Palatino Linotype" w:hAnsi="Palatino Linotype" w:cs="Arial"/>
          <w:i/>
        </w:rPr>
        <w:t xml:space="preserve">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FE6326">
        <w:rPr>
          <w:rFonts w:ascii="Palatino Linotype" w:hAnsi="Palatino Linotype" w:cs="Arial"/>
          <w:b/>
          <w:i/>
        </w:rPr>
        <w:t>el deber que tienen los órganos del Estado, dentro del margen de sus atribuciones, de prevenir violaciones a los derechos fundamentales,</w:t>
      </w:r>
      <w:r w:rsidRPr="00FE6326">
        <w:rPr>
          <w:rFonts w:ascii="Palatino Linotype" w:hAnsi="Palatino Linotype" w:cs="Arial"/>
          <w:i/>
        </w:rPr>
        <w:t xml:space="preserve"> ya sea que provengan de una autoridad o de algún particular y, por ello, </w:t>
      </w:r>
      <w:r w:rsidRPr="00FE6326">
        <w:rPr>
          <w:rFonts w:ascii="Palatino Linotype" w:hAnsi="Palatino Linotype" w:cs="Arial"/>
          <w:b/>
          <w:i/>
        </w:rPr>
        <w:t>debe contarse</w:t>
      </w:r>
      <w:r w:rsidRPr="00FE6326">
        <w:rPr>
          <w:rFonts w:ascii="Palatino Linotype" w:hAnsi="Palatino Linotype" w:cs="Arial"/>
          <w:i/>
        </w:rPr>
        <w:t xml:space="preserve"> tanto </w:t>
      </w:r>
      <w:r w:rsidRPr="00FE6326">
        <w:rPr>
          <w:rFonts w:ascii="Palatino Linotype" w:hAnsi="Palatino Linotype" w:cs="Arial"/>
          <w:b/>
          <w:i/>
        </w:rPr>
        <w:t>con mecanismos</w:t>
      </w:r>
      <w:r w:rsidRPr="00FE6326">
        <w:rPr>
          <w:rFonts w:ascii="Palatino Linotype" w:hAnsi="Palatino Linotype" w:cs="Arial"/>
          <w:i/>
        </w:rPr>
        <w:t xml:space="preserve"> de vigilancia como </w:t>
      </w:r>
      <w:r w:rsidRPr="00FE6326">
        <w:rPr>
          <w:rFonts w:ascii="Palatino Linotype" w:hAnsi="Palatino Linotype" w:cs="Arial"/>
          <w:b/>
          <w:i/>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FE6326">
        <w:rPr>
          <w:rFonts w:ascii="Palatino Linotype" w:hAnsi="Palatino Linotype" w:cs="Arial"/>
          <w:i/>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r w:rsidRPr="009A5396">
        <w:rPr>
          <w:rFonts w:ascii="Palatino Linotype" w:hAnsi="Palatino Linotype" w:cs="Arial"/>
          <w:sz w:val="24"/>
          <w:szCs w:val="24"/>
        </w:rPr>
        <w:t>.</w:t>
      </w:r>
    </w:p>
    <w:p w:rsidR="0046491C" w:rsidRPr="00166140" w:rsidRDefault="0046491C" w:rsidP="00166140">
      <w:pPr>
        <w:pStyle w:val="Prrafodelista"/>
        <w:spacing w:after="0" w:line="240" w:lineRule="auto"/>
        <w:ind w:left="426"/>
        <w:jc w:val="both"/>
        <w:rPr>
          <w:rFonts w:ascii="Palatino Linotype" w:hAnsi="Palatino Linotype" w:cs="Arial"/>
          <w:sz w:val="12"/>
          <w:szCs w:val="24"/>
        </w:rPr>
      </w:pPr>
    </w:p>
    <w:p w:rsidR="000D7928" w:rsidRDefault="0046491C" w:rsidP="000D7928">
      <w:pPr>
        <w:pStyle w:val="Prrafodelista"/>
        <w:numPr>
          <w:ilvl w:val="0"/>
          <w:numId w:val="1"/>
        </w:numPr>
        <w:spacing w:after="0" w:line="360" w:lineRule="auto"/>
        <w:ind w:left="0" w:right="-93" w:firstLine="0"/>
        <w:jc w:val="both"/>
        <w:rPr>
          <w:rFonts w:ascii="Palatino Linotype" w:hAnsi="Palatino Linotype" w:cs="Arial"/>
          <w:sz w:val="24"/>
          <w:szCs w:val="24"/>
        </w:rPr>
      </w:pPr>
      <w:r w:rsidRPr="009A5396">
        <w:rPr>
          <w:rFonts w:ascii="Palatino Linotype" w:hAnsi="Palatino Linotype" w:cs="Arial"/>
          <w:sz w:val="24"/>
          <w:szCs w:val="24"/>
        </w:rPr>
        <w:t xml:space="preserve"> Para el caso que nos ocupa</w:t>
      </w:r>
      <w:r w:rsidR="0091008E">
        <w:rPr>
          <w:rFonts w:ascii="Palatino Linotype" w:hAnsi="Palatino Linotype" w:cs="Arial"/>
          <w:sz w:val="24"/>
          <w:szCs w:val="24"/>
        </w:rPr>
        <w:t xml:space="preserve">, </w:t>
      </w:r>
      <w:r w:rsidR="000D7928" w:rsidRPr="000D7928">
        <w:rPr>
          <w:rFonts w:ascii="Palatino Linotype" w:hAnsi="Palatino Linotype" w:cs="Arial"/>
          <w:sz w:val="24"/>
          <w:szCs w:val="24"/>
        </w:rPr>
        <w:t xml:space="preserve">primeramente debe señalarse que, en atención los artículos 11 y 13 del Bando Municipal de </w:t>
      </w:r>
      <w:r w:rsidR="000D7928">
        <w:rPr>
          <w:rFonts w:ascii="Palatino Linotype" w:hAnsi="Palatino Linotype" w:cs="Arial"/>
          <w:sz w:val="24"/>
          <w:szCs w:val="24"/>
        </w:rPr>
        <w:t>Lerma</w:t>
      </w:r>
      <w:r w:rsidR="00194541">
        <w:rPr>
          <w:rStyle w:val="Refdenotaalpie"/>
          <w:rFonts w:ascii="Palatino Linotype" w:hAnsi="Palatino Linotype" w:cs="Arial"/>
          <w:sz w:val="24"/>
          <w:szCs w:val="24"/>
        </w:rPr>
        <w:footnoteReference w:id="3"/>
      </w:r>
      <w:r w:rsidR="000D7928" w:rsidRPr="000D7928">
        <w:rPr>
          <w:rFonts w:ascii="Palatino Linotype" w:hAnsi="Palatino Linotype" w:cs="Arial"/>
          <w:sz w:val="24"/>
          <w:szCs w:val="24"/>
        </w:rPr>
        <w:t>, su territorio se divide de la siguiente manera:</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Pr>
          <w:rFonts w:ascii="Palatino Linotype" w:eastAsiaTheme="minorEastAsia" w:hAnsi="Palatino Linotype"/>
          <w:i/>
          <w:szCs w:val="24"/>
          <w:lang w:val="es-ES_tradnl" w:eastAsia="es-ES"/>
        </w:rPr>
        <w:t>“</w:t>
      </w:r>
      <w:r w:rsidRPr="000D7928">
        <w:rPr>
          <w:rFonts w:ascii="Palatino Linotype" w:eastAsiaTheme="minorEastAsia" w:hAnsi="Palatino Linotype"/>
          <w:b/>
          <w:i/>
          <w:szCs w:val="24"/>
          <w:lang w:val="es-ES_tradnl" w:eastAsia="es-ES"/>
        </w:rPr>
        <w:t>Artículo 9.</w:t>
      </w:r>
      <w:r w:rsidRPr="000D7928">
        <w:rPr>
          <w:rFonts w:ascii="Palatino Linotype" w:eastAsiaTheme="minorEastAsia" w:hAnsi="Palatino Linotype"/>
          <w:i/>
          <w:szCs w:val="24"/>
          <w:lang w:val="es-ES_tradnl" w:eastAsia="es-ES"/>
        </w:rPr>
        <w:t xml:space="preserve"> El Municipio está integrado por una Cabecera Municipal, que es la Ciudad de Lerma de Villada; t</w:t>
      </w:r>
      <w:r w:rsidRPr="000D7928">
        <w:rPr>
          <w:rFonts w:ascii="Palatino Linotype" w:eastAsiaTheme="minorEastAsia" w:hAnsi="Palatino Linotype"/>
          <w:i/>
          <w:szCs w:val="24"/>
          <w:u w:val="single"/>
          <w:lang w:val="es-ES_tradnl" w:eastAsia="es-ES"/>
        </w:rPr>
        <w:t>reinta y ocho Delegaciones, siete Fraccionamientos, cinco Parques Industriales y trece Jefaturas de Colonia, agrupadas en siete regiones</w:t>
      </w:r>
      <w:r w:rsidRPr="000D7928">
        <w:rPr>
          <w:rFonts w:ascii="Palatino Linotype" w:eastAsiaTheme="minorEastAsia" w:hAnsi="Palatino Linotype"/>
          <w:i/>
          <w:szCs w:val="24"/>
          <w:lang w:val="es-ES_tradnl" w:eastAsia="es-ES"/>
        </w:rPr>
        <w:t xml:space="preserve">. </w:t>
      </w:r>
    </w:p>
    <w:p w:rsidR="000D7928" w:rsidRDefault="000D7928" w:rsidP="000D7928">
      <w:pPr>
        <w:pStyle w:val="Sinespaciado"/>
        <w:spacing w:before="240"/>
        <w:ind w:left="851" w:right="567"/>
        <w:jc w:val="both"/>
        <w:rPr>
          <w:rFonts w:ascii="Palatino Linotype" w:eastAsiaTheme="minorEastAsia" w:hAnsi="Palatino Linotype"/>
          <w:i/>
          <w:szCs w:val="24"/>
          <w:lang w:val="es-ES_tradnl" w:eastAsia="es-ES"/>
        </w:rPr>
      </w:pPr>
      <w:r w:rsidRPr="009103FD">
        <w:rPr>
          <w:rFonts w:ascii="Palatino Linotype" w:eastAsiaTheme="minorEastAsia" w:hAnsi="Palatino Linotype"/>
          <w:b/>
          <w:i/>
          <w:szCs w:val="24"/>
          <w:lang w:val="es-ES_tradnl" w:eastAsia="es-ES"/>
        </w:rPr>
        <w:t xml:space="preserve">Artículo 10. </w:t>
      </w:r>
      <w:r w:rsidRPr="000D7928">
        <w:rPr>
          <w:rFonts w:ascii="Palatino Linotype" w:eastAsiaTheme="minorEastAsia" w:hAnsi="Palatino Linotype"/>
          <w:i/>
          <w:szCs w:val="24"/>
          <w:lang w:val="es-ES_tradnl" w:eastAsia="es-ES"/>
        </w:rPr>
        <w:t xml:space="preserve">Para el cumplimiento de sus funciones políticas y administrativas, el </w:t>
      </w:r>
      <w:r w:rsidRPr="009103FD">
        <w:rPr>
          <w:rFonts w:ascii="Palatino Linotype" w:eastAsiaTheme="minorEastAsia" w:hAnsi="Palatino Linotype"/>
          <w:i/>
          <w:szCs w:val="24"/>
          <w:u w:val="single"/>
          <w:lang w:val="es-ES_tradnl" w:eastAsia="es-ES"/>
        </w:rPr>
        <w:t>Ayuntamiento de Lerma ha dividido el territorio municipal de</w:t>
      </w:r>
      <w:r w:rsidRPr="000D7928">
        <w:rPr>
          <w:rFonts w:ascii="Palatino Linotype" w:eastAsiaTheme="minorEastAsia" w:hAnsi="Palatino Linotype"/>
          <w:i/>
          <w:szCs w:val="24"/>
          <w:lang w:val="es-ES_tradnl" w:eastAsia="es-ES"/>
        </w:rPr>
        <w:t xml:space="preserve"> la siguiente manera: </w:t>
      </w:r>
    </w:p>
    <w:p w:rsidR="000D7928" w:rsidRDefault="000D7928" w:rsidP="000D7928">
      <w:pPr>
        <w:pStyle w:val="Sinespaciado"/>
        <w:spacing w:before="240"/>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REGIÓN I HUITZIZILAPAN</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Colonia Adolfo López Mateos Huitzizilapan;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Colonia Guadalupe Victoria Huitzizilapan;</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Flor de Gallo Huitzizilapan;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La Unidad Huitzizilapan;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Las Mesas Huitzizilapan;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San Agustín Huitzizilapan;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San Lorenzo Huitzizilapan;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San Martín las Rajas Huitzizilapan;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San Pedro Huitzizilapan;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Santa Cruz Huitzizilapan;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Zacamulpa Huitzizilapan; y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Colonia N´Dexi Huitzizilapan.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REGIÓN II TLALMIMILOLPAN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Barranca Grande Tlalmimilolpan;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Colonia Álvaro Obregón Tlalmimilolpan;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La Reforma Tlalmimilolpan;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Metate Viejo Tlalmimilolpan;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Pueblo Nuevo Tlalmimilolpan;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Santa Catarina;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Santa María Tlalmimilolpan; y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Zacamulpa Tlalmimilolpan.</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REGIÓN III ATARASQUILLO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San Mateo Atarasquillo; Santa Cruz Chignahuapan; y</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 Santa María Atarasquillo.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REGIÓN IV AMEYALCO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Amomolulco;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Cañada de Alférez;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Salazar;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San José El Llanito;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San Miguel Ameyalco;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Fraccionamiento Los Encinos; y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Conjunto Urbano Los Robles.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REGIÓN V LERMA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Colonia AURIS;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Colonia CIDECO;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Colonia Centro;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Colonia El Calvario;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Colonia El Panteón;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Colonia Guadalupe, la Ciénega;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Colonia La Estación;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Colonia La Mota;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Colonia Valle de Lerma;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Colonia INFONAVIT;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Colonia la Bomba;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Colonia Emiliano Zapata;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Colonia Isidro Fabela;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Conjunto Urbano Habitacional Valle de Encinos; y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Conjunto Urbano Habitacional Hacienda Lerma.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p>
    <w:p w:rsidR="00D04845" w:rsidRDefault="00D04845" w:rsidP="000D7928">
      <w:pPr>
        <w:pStyle w:val="Sinespaciado"/>
        <w:ind w:left="851" w:right="567"/>
        <w:jc w:val="both"/>
        <w:rPr>
          <w:rFonts w:ascii="Palatino Linotype" w:eastAsiaTheme="minorEastAsia" w:hAnsi="Palatino Linotype"/>
          <w:i/>
          <w:szCs w:val="24"/>
          <w:lang w:val="es-ES_tradnl" w:eastAsia="es-ES"/>
        </w:rPr>
      </w:pP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REGIÓN VI TULTEPEC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Colonia Alfredo del Mazo;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Colonia Tomapa;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San Pedro Tultepec; y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Santa Cruz Tultepec;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REGIÓN VII PERALTA- XOCHICUAUTLAANALCO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La Concepción Xochicuautla;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El Espino Peralta;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San Francisco Xochicuautla;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Colonia Agrícola Analco;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San Nicolás Peralta; y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Santiago Analco.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ZONA INDUSTRIAL LERMA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Corredor Industrial Lerma – Toluca;</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Fidepar Cerrillo I;</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Fidepar Cerrillo II;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Fidepar Industrial Lerma;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Conjunto Urbano Habitacional Hacienda Santa Clara;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Conjunto Urbano Habitacional Real Santa Clara I;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 xml:space="preserve">Conjunto Urbano Habitacional El Porvenir II; y </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i/>
          <w:szCs w:val="24"/>
          <w:lang w:val="es-ES_tradnl" w:eastAsia="es-ES"/>
        </w:rPr>
        <w:t>Parque Industrial La Bomba.</w:t>
      </w:r>
    </w:p>
    <w:p w:rsidR="000D7928" w:rsidRDefault="000D7928" w:rsidP="000D7928">
      <w:pPr>
        <w:pStyle w:val="Sinespaciado"/>
        <w:ind w:left="851" w:right="567"/>
        <w:jc w:val="both"/>
        <w:rPr>
          <w:rFonts w:ascii="Palatino Linotype" w:eastAsiaTheme="minorEastAsia" w:hAnsi="Palatino Linotype"/>
          <w:i/>
          <w:szCs w:val="24"/>
          <w:lang w:val="es-ES_tradnl" w:eastAsia="es-ES"/>
        </w:rPr>
      </w:pPr>
    </w:p>
    <w:p w:rsidR="009E631F" w:rsidRDefault="000D7928" w:rsidP="000D7928">
      <w:pPr>
        <w:pStyle w:val="Sinespaciado"/>
        <w:ind w:left="851" w:right="567"/>
        <w:jc w:val="both"/>
        <w:rPr>
          <w:rFonts w:ascii="Palatino Linotype" w:eastAsiaTheme="minorEastAsia" w:hAnsi="Palatino Linotype"/>
          <w:i/>
          <w:szCs w:val="24"/>
          <w:lang w:val="es-ES_tradnl" w:eastAsia="es-ES"/>
        </w:rPr>
      </w:pPr>
      <w:r w:rsidRPr="000D7928">
        <w:rPr>
          <w:rFonts w:ascii="Palatino Linotype" w:eastAsiaTheme="minorEastAsia" w:hAnsi="Palatino Linotype"/>
          <w:b/>
          <w:i/>
          <w:szCs w:val="24"/>
          <w:lang w:val="es-ES_tradnl" w:eastAsia="es-ES"/>
        </w:rPr>
        <w:t xml:space="preserve">Artículo 11. </w:t>
      </w:r>
      <w:r w:rsidRPr="000D7928">
        <w:rPr>
          <w:rFonts w:ascii="Palatino Linotype" w:eastAsiaTheme="minorEastAsia" w:hAnsi="Palatino Linotype"/>
          <w:i/>
          <w:szCs w:val="24"/>
          <w:lang w:val="es-ES_tradnl" w:eastAsia="es-ES"/>
        </w:rPr>
        <w:t xml:space="preserve">El Ayuntamiento, previa elaboración del estudio correspondiente, podrá </w:t>
      </w:r>
      <w:r w:rsidRPr="009E631F">
        <w:rPr>
          <w:rFonts w:ascii="Palatino Linotype" w:eastAsiaTheme="minorEastAsia" w:hAnsi="Palatino Linotype"/>
          <w:i/>
          <w:szCs w:val="24"/>
          <w:u w:val="single"/>
          <w:lang w:val="es-ES_tradnl" w:eastAsia="es-ES"/>
        </w:rPr>
        <w:t>crear o reconocer nuevos centros de población, con la categoría política que les corresponda, modificando las circunscripciones territoriales actuales</w:t>
      </w:r>
      <w:r w:rsidRPr="000D7928">
        <w:rPr>
          <w:rFonts w:ascii="Palatino Linotype" w:eastAsiaTheme="minorEastAsia" w:hAnsi="Palatino Linotype"/>
          <w:i/>
          <w:szCs w:val="24"/>
          <w:lang w:val="es-ES_tradnl" w:eastAsia="es-ES"/>
        </w:rPr>
        <w:t xml:space="preserve">; asimismo, podrá modificar, con base en el número de habitantes y servicios públicos existentes, la categoría política de los centros de población. </w:t>
      </w:r>
    </w:p>
    <w:p w:rsidR="00923FD9" w:rsidRDefault="00923FD9" w:rsidP="000D7928">
      <w:pPr>
        <w:pStyle w:val="Sinespaciado"/>
        <w:ind w:left="851" w:right="567"/>
        <w:jc w:val="both"/>
        <w:rPr>
          <w:rFonts w:ascii="Palatino Linotype" w:eastAsiaTheme="minorEastAsia" w:hAnsi="Palatino Linotype"/>
          <w:i/>
          <w:szCs w:val="24"/>
          <w:lang w:val="es-ES_tradnl" w:eastAsia="es-ES"/>
        </w:rPr>
      </w:pPr>
    </w:p>
    <w:p w:rsidR="009E631F" w:rsidRDefault="000D7928" w:rsidP="009E631F">
      <w:pPr>
        <w:pStyle w:val="Sinespaciado"/>
        <w:ind w:left="851" w:right="567"/>
        <w:jc w:val="both"/>
        <w:rPr>
          <w:rFonts w:ascii="Palatino Linotype" w:eastAsiaTheme="minorEastAsia" w:hAnsi="Palatino Linotype"/>
          <w:i/>
          <w:szCs w:val="24"/>
          <w:lang w:val="es-ES_tradnl" w:eastAsia="es-ES"/>
        </w:rPr>
      </w:pPr>
      <w:r w:rsidRPr="00923FD9">
        <w:rPr>
          <w:rFonts w:ascii="Palatino Linotype" w:eastAsiaTheme="minorEastAsia" w:hAnsi="Palatino Linotype"/>
          <w:b/>
          <w:i/>
          <w:szCs w:val="24"/>
          <w:lang w:val="es-ES_tradnl" w:eastAsia="es-ES"/>
        </w:rPr>
        <w:t>Artículo 12.</w:t>
      </w:r>
      <w:r w:rsidRPr="000D7928">
        <w:rPr>
          <w:rFonts w:ascii="Palatino Linotype" w:eastAsiaTheme="minorEastAsia" w:hAnsi="Palatino Linotype"/>
          <w:i/>
          <w:szCs w:val="24"/>
          <w:lang w:val="es-ES_tradnl" w:eastAsia="es-ES"/>
        </w:rPr>
        <w:t xml:space="preserve"> El </w:t>
      </w:r>
      <w:r w:rsidRPr="00D04845">
        <w:rPr>
          <w:rFonts w:ascii="Palatino Linotype" w:eastAsiaTheme="minorEastAsia" w:hAnsi="Palatino Linotype"/>
          <w:i/>
          <w:szCs w:val="24"/>
          <w:u w:val="single"/>
          <w:lang w:val="es-ES_tradnl" w:eastAsia="es-ES"/>
        </w:rPr>
        <w:t>Ayuntamiento podrá acordar las</w:t>
      </w:r>
      <w:r w:rsidRPr="000D7928">
        <w:rPr>
          <w:rFonts w:ascii="Palatino Linotype" w:eastAsiaTheme="minorEastAsia" w:hAnsi="Palatino Linotype"/>
          <w:i/>
          <w:szCs w:val="24"/>
          <w:lang w:val="es-ES_tradnl" w:eastAsia="es-ES"/>
        </w:rPr>
        <w:t xml:space="preserve"> </w:t>
      </w:r>
      <w:r w:rsidRPr="00D04845">
        <w:rPr>
          <w:rFonts w:ascii="Palatino Linotype" w:eastAsiaTheme="minorEastAsia" w:hAnsi="Palatino Linotype"/>
          <w:i/>
          <w:szCs w:val="24"/>
          <w:u w:val="single"/>
          <w:lang w:val="es-ES_tradnl" w:eastAsia="es-ES"/>
        </w:rPr>
        <w:t>modificaciones</w:t>
      </w:r>
      <w:r w:rsidRPr="000D7928">
        <w:rPr>
          <w:rFonts w:ascii="Palatino Linotype" w:eastAsiaTheme="minorEastAsia" w:hAnsi="Palatino Linotype"/>
          <w:i/>
          <w:szCs w:val="24"/>
          <w:lang w:val="es-ES_tradnl" w:eastAsia="es-ES"/>
        </w:rPr>
        <w:t xml:space="preserve"> a los nombres o </w:t>
      </w:r>
      <w:r w:rsidRPr="00D04845">
        <w:rPr>
          <w:rFonts w:ascii="Palatino Linotype" w:eastAsiaTheme="minorEastAsia" w:hAnsi="Palatino Linotype"/>
          <w:i/>
          <w:szCs w:val="24"/>
          <w:u w:val="single"/>
          <w:lang w:val="es-ES_tradnl" w:eastAsia="es-ES"/>
        </w:rPr>
        <w:t>delimitaciones de las diversas unidades territoriales del Municipio</w:t>
      </w:r>
      <w:r w:rsidRPr="000D7928">
        <w:rPr>
          <w:rFonts w:ascii="Palatino Linotype" w:eastAsiaTheme="minorEastAsia" w:hAnsi="Palatino Linotype"/>
          <w:i/>
          <w:szCs w:val="24"/>
          <w:lang w:val="es-ES_tradnl" w:eastAsia="es-ES"/>
        </w:rPr>
        <w:t>, de conformidad con las leyes federales, estatales y reglamentos municipales</w:t>
      </w:r>
      <w:r w:rsidR="009E631F">
        <w:rPr>
          <w:rFonts w:ascii="Palatino Linotype" w:eastAsiaTheme="minorEastAsia" w:hAnsi="Palatino Linotype"/>
          <w:i/>
          <w:szCs w:val="24"/>
          <w:lang w:val="es-ES_tradnl" w:eastAsia="es-ES"/>
        </w:rPr>
        <w:t>.”</w:t>
      </w:r>
    </w:p>
    <w:p w:rsidR="009E631F" w:rsidRDefault="009E631F" w:rsidP="009E631F">
      <w:pPr>
        <w:pStyle w:val="Sinespaciado"/>
        <w:ind w:left="851" w:right="567"/>
        <w:jc w:val="both"/>
        <w:rPr>
          <w:rFonts w:ascii="Palatino Linotype" w:eastAsiaTheme="minorEastAsia" w:hAnsi="Palatino Linotype"/>
          <w:i/>
          <w:szCs w:val="24"/>
          <w:lang w:val="es-ES_tradnl" w:eastAsia="es-ES"/>
        </w:rPr>
      </w:pPr>
      <w:r>
        <w:rPr>
          <w:rFonts w:ascii="Palatino Linotype" w:eastAsiaTheme="minorEastAsia" w:hAnsi="Palatino Linotype"/>
          <w:i/>
          <w:szCs w:val="24"/>
          <w:lang w:val="es-ES_tradnl" w:eastAsia="es-ES"/>
        </w:rPr>
        <w:t>(Énfasis añadido)</w:t>
      </w:r>
    </w:p>
    <w:p w:rsidR="00AC7AA7" w:rsidRPr="000D7928" w:rsidRDefault="00AC7AA7" w:rsidP="009E631F">
      <w:pPr>
        <w:pStyle w:val="Sinespaciado"/>
        <w:ind w:left="851" w:right="567"/>
        <w:jc w:val="both"/>
        <w:rPr>
          <w:rFonts w:ascii="Palatino Linotype" w:eastAsiaTheme="minorEastAsia" w:hAnsi="Palatino Linotype"/>
          <w:i/>
          <w:szCs w:val="24"/>
          <w:lang w:val="es-ES_tradnl" w:eastAsia="es-ES"/>
        </w:rPr>
      </w:pPr>
    </w:p>
    <w:p w:rsidR="006A7892" w:rsidRPr="006A7892" w:rsidRDefault="006A7892" w:rsidP="006A7892">
      <w:pPr>
        <w:pStyle w:val="Prrafodelista"/>
        <w:numPr>
          <w:ilvl w:val="0"/>
          <w:numId w:val="1"/>
        </w:numPr>
        <w:spacing w:after="0" w:line="360" w:lineRule="auto"/>
        <w:ind w:left="0" w:right="-93" w:firstLine="0"/>
        <w:jc w:val="both"/>
        <w:rPr>
          <w:rFonts w:ascii="Palatino Linotype" w:hAnsi="Palatino Linotype" w:cs="Arial"/>
          <w:sz w:val="24"/>
          <w:szCs w:val="24"/>
        </w:rPr>
      </w:pPr>
      <w:r w:rsidRPr="006A7892">
        <w:rPr>
          <w:rFonts w:ascii="Palatino Linotype" w:hAnsi="Palatino Linotype" w:cs="Arial"/>
          <w:sz w:val="24"/>
          <w:szCs w:val="24"/>
        </w:rPr>
        <w:t>Al respecto, resulta necesario manifestar que el diccionario de la Real Academia Española, identifica a la palabra “</w:t>
      </w:r>
      <w:r w:rsidRPr="006A7892">
        <w:rPr>
          <w:rFonts w:ascii="Palatino Linotype" w:hAnsi="Palatino Linotype" w:cs="Arial"/>
          <w:i/>
          <w:sz w:val="24"/>
          <w:szCs w:val="24"/>
        </w:rPr>
        <w:t>manera</w:t>
      </w:r>
      <w:r w:rsidRPr="006A7892">
        <w:rPr>
          <w:rFonts w:ascii="Palatino Linotype" w:hAnsi="Palatino Linotype" w:cs="Arial"/>
          <w:sz w:val="24"/>
          <w:szCs w:val="24"/>
        </w:rPr>
        <w:t>” de la siguiente forma:</w:t>
      </w:r>
    </w:p>
    <w:p w:rsidR="006A7892" w:rsidRDefault="006A7892" w:rsidP="006A7892">
      <w:pPr>
        <w:pStyle w:val="Prrafodelista"/>
        <w:tabs>
          <w:tab w:val="left" w:pos="426"/>
        </w:tabs>
        <w:spacing w:line="360" w:lineRule="auto"/>
        <w:ind w:left="0" w:right="49"/>
        <w:jc w:val="center"/>
        <w:rPr>
          <w:rFonts w:ascii="Palatino Linotype" w:hAnsi="Palatino Linotype"/>
        </w:rPr>
      </w:pPr>
      <w:r>
        <w:rPr>
          <w:rFonts w:ascii="Palatino Linotype" w:hAnsi="Palatino Linotype"/>
          <w:noProof/>
          <w:lang w:eastAsia="es-MX"/>
        </w:rPr>
        <w:drawing>
          <wp:inline distT="0" distB="0" distL="0" distR="0" wp14:anchorId="4EB2CD20" wp14:editId="3C7424D5">
            <wp:extent cx="5426445" cy="1400175"/>
            <wp:effectExtent l="57150" t="57150" r="117475" b="1047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5913" cy="141293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A7892" w:rsidRDefault="006A7892" w:rsidP="006A7892">
      <w:pPr>
        <w:pStyle w:val="Prrafodelista"/>
        <w:tabs>
          <w:tab w:val="left" w:pos="426"/>
        </w:tabs>
        <w:spacing w:line="360" w:lineRule="auto"/>
        <w:ind w:left="0" w:right="49"/>
        <w:jc w:val="both"/>
        <w:rPr>
          <w:rFonts w:ascii="Palatino Linotype" w:hAnsi="Palatino Linotype"/>
        </w:rPr>
      </w:pPr>
    </w:p>
    <w:p w:rsidR="009103FD" w:rsidRDefault="006A7892" w:rsidP="006A7892">
      <w:pPr>
        <w:pStyle w:val="Prrafodelista"/>
        <w:numPr>
          <w:ilvl w:val="0"/>
          <w:numId w:val="1"/>
        </w:numPr>
        <w:spacing w:after="0" w:line="360" w:lineRule="auto"/>
        <w:ind w:left="0" w:right="-93" w:firstLine="0"/>
        <w:jc w:val="both"/>
        <w:rPr>
          <w:rFonts w:ascii="Palatino Linotype" w:hAnsi="Palatino Linotype" w:cs="Arial"/>
          <w:sz w:val="24"/>
          <w:szCs w:val="24"/>
        </w:rPr>
      </w:pPr>
      <w:r w:rsidRPr="006A7892">
        <w:rPr>
          <w:rFonts w:ascii="Palatino Linotype" w:hAnsi="Palatino Linotype" w:cs="Arial"/>
          <w:sz w:val="24"/>
          <w:szCs w:val="24"/>
        </w:rPr>
        <w:t xml:space="preserve">De tal manera que el particular no pidió de manera específica la cantidad de cuadrantes que conforma el territorio del Municipio de </w:t>
      </w:r>
      <w:r>
        <w:rPr>
          <w:rFonts w:ascii="Palatino Linotype" w:hAnsi="Palatino Linotype" w:cs="Arial"/>
          <w:sz w:val="24"/>
          <w:szCs w:val="24"/>
        </w:rPr>
        <w:t>Lerma</w:t>
      </w:r>
      <w:r w:rsidRPr="006A7892">
        <w:rPr>
          <w:rFonts w:ascii="Palatino Linotype" w:hAnsi="Palatino Linotype" w:cs="Arial"/>
          <w:sz w:val="24"/>
          <w:szCs w:val="24"/>
        </w:rPr>
        <w:t>, sino el modo o la forma e</w:t>
      </w:r>
      <w:r w:rsidR="009103FD">
        <w:rPr>
          <w:rFonts w:ascii="Palatino Linotype" w:hAnsi="Palatino Linotype" w:cs="Arial"/>
          <w:sz w:val="24"/>
          <w:szCs w:val="24"/>
        </w:rPr>
        <w:t xml:space="preserve">n que éstos están distribuidos. </w:t>
      </w:r>
    </w:p>
    <w:p w:rsidR="009103FD" w:rsidRDefault="009103FD" w:rsidP="009103FD">
      <w:pPr>
        <w:pStyle w:val="Prrafodelista"/>
        <w:spacing w:after="0" w:line="240" w:lineRule="auto"/>
        <w:ind w:left="0" w:right="-93"/>
        <w:jc w:val="both"/>
        <w:rPr>
          <w:rFonts w:ascii="Palatino Linotype" w:hAnsi="Palatino Linotype" w:cs="Arial"/>
          <w:sz w:val="24"/>
          <w:szCs w:val="24"/>
        </w:rPr>
      </w:pPr>
    </w:p>
    <w:p w:rsidR="006A7892" w:rsidRDefault="009103FD" w:rsidP="009103FD">
      <w:pPr>
        <w:pStyle w:val="Prrafodelista"/>
        <w:numPr>
          <w:ilvl w:val="0"/>
          <w:numId w:val="1"/>
        </w:numPr>
        <w:spacing w:after="0" w:line="360" w:lineRule="auto"/>
        <w:ind w:left="0" w:right="-93" w:firstLine="0"/>
        <w:jc w:val="both"/>
        <w:rPr>
          <w:rFonts w:ascii="Palatino Linotype" w:hAnsi="Palatino Linotype" w:cs="Arial"/>
          <w:sz w:val="24"/>
          <w:szCs w:val="24"/>
        </w:rPr>
      </w:pPr>
      <w:r>
        <w:rPr>
          <w:rFonts w:ascii="Palatino Linotype" w:hAnsi="Palatino Linotype" w:cs="Arial"/>
          <w:sz w:val="24"/>
          <w:szCs w:val="24"/>
        </w:rPr>
        <w:t xml:space="preserve">En ese sentido y de conformidad con la división territorial del Municipio, el Sujeto Obligado </w:t>
      </w:r>
      <w:r w:rsidR="006A7892" w:rsidRPr="009103FD">
        <w:rPr>
          <w:rFonts w:ascii="Palatino Linotype" w:hAnsi="Palatino Linotype" w:cs="Arial"/>
          <w:sz w:val="24"/>
          <w:szCs w:val="24"/>
        </w:rPr>
        <w:t>debió remitir los documentos necesarios que avalaran la existencia y distribución de los cuadrantes aludidos.</w:t>
      </w:r>
    </w:p>
    <w:p w:rsidR="009103FD" w:rsidRPr="009103FD" w:rsidRDefault="009103FD" w:rsidP="009103FD">
      <w:pPr>
        <w:pStyle w:val="Prrafodelista"/>
        <w:rPr>
          <w:rFonts w:ascii="Palatino Linotype" w:hAnsi="Palatino Linotype" w:cs="Arial"/>
          <w:sz w:val="24"/>
          <w:szCs w:val="24"/>
        </w:rPr>
      </w:pPr>
    </w:p>
    <w:p w:rsidR="009103FD" w:rsidRDefault="009103FD" w:rsidP="009103FD">
      <w:pPr>
        <w:pStyle w:val="Prrafodelista"/>
        <w:numPr>
          <w:ilvl w:val="0"/>
          <w:numId w:val="1"/>
        </w:numPr>
        <w:spacing w:after="0" w:line="360" w:lineRule="auto"/>
        <w:ind w:left="0" w:right="-93" w:firstLine="0"/>
        <w:jc w:val="both"/>
        <w:rPr>
          <w:rFonts w:ascii="Palatino Linotype" w:hAnsi="Palatino Linotype" w:cs="Arial"/>
          <w:sz w:val="24"/>
          <w:szCs w:val="24"/>
        </w:rPr>
      </w:pPr>
      <w:r>
        <w:rPr>
          <w:rFonts w:ascii="Palatino Linotype" w:hAnsi="Palatino Linotype" w:cs="Arial"/>
          <w:sz w:val="24"/>
          <w:szCs w:val="24"/>
        </w:rPr>
        <w:t xml:space="preserve">En efecto, el dar a conocer dicha información no </w:t>
      </w:r>
      <w:r w:rsidR="003C4176">
        <w:rPr>
          <w:rFonts w:ascii="Palatino Linotype" w:hAnsi="Palatino Linotype" w:cs="Arial"/>
          <w:sz w:val="24"/>
          <w:szCs w:val="24"/>
        </w:rPr>
        <w:t>pone</w:t>
      </w:r>
      <w:r>
        <w:rPr>
          <w:rFonts w:ascii="Palatino Linotype" w:hAnsi="Palatino Linotype" w:cs="Arial"/>
          <w:sz w:val="24"/>
          <w:szCs w:val="24"/>
        </w:rPr>
        <w:t xml:space="preserve"> en riesgo la seguridad pública del Municipio, ni la vida de los policías que conforman la seguridad municipal, ya que solo se estaría entregando información de la división o distribución del territorio. </w:t>
      </w:r>
    </w:p>
    <w:p w:rsidR="009103FD" w:rsidRPr="009103FD" w:rsidRDefault="009103FD" w:rsidP="009103FD">
      <w:pPr>
        <w:pStyle w:val="Prrafodelista"/>
        <w:rPr>
          <w:rFonts w:ascii="Palatino Linotype" w:hAnsi="Palatino Linotype" w:cs="Arial"/>
          <w:sz w:val="24"/>
          <w:szCs w:val="24"/>
        </w:rPr>
      </w:pPr>
    </w:p>
    <w:p w:rsidR="009103FD" w:rsidRDefault="00AF6BE0" w:rsidP="009103FD">
      <w:pPr>
        <w:pStyle w:val="Prrafodelista"/>
        <w:numPr>
          <w:ilvl w:val="0"/>
          <w:numId w:val="1"/>
        </w:numPr>
        <w:spacing w:after="0" w:line="360" w:lineRule="auto"/>
        <w:ind w:left="0" w:right="-93" w:firstLine="0"/>
        <w:jc w:val="both"/>
        <w:rPr>
          <w:rFonts w:ascii="Palatino Linotype" w:hAnsi="Palatino Linotype" w:cs="Arial"/>
          <w:sz w:val="24"/>
          <w:szCs w:val="24"/>
        </w:rPr>
      </w:pPr>
      <w:r>
        <w:rPr>
          <w:rFonts w:ascii="Palatino Linotype" w:hAnsi="Palatino Linotype" w:cs="Arial"/>
          <w:sz w:val="24"/>
          <w:szCs w:val="24"/>
        </w:rPr>
        <w:t xml:space="preserve">Aunado a lo que se ha manifestado, no se vulneraria la </w:t>
      </w:r>
      <w:r w:rsidR="009103FD">
        <w:rPr>
          <w:rFonts w:ascii="Palatino Linotype" w:hAnsi="Palatino Linotype" w:cs="Arial"/>
          <w:sz w:val="24"/>
          <w:szCs w:val="24"/>
        </w:rPr>
        <w:t xml:space="preserve"> </w:t>
      </w:r>
      <w:r>
        <w:rPr>
          <w:rFonts w:ascii="Palatino Linotype" w:hAnsi="Palatino Linotype" w:cs="Arial"/>
          <w:sz w:val="24"/>
          <w:szCs w:val="24"/>
        </w:rPr>
        <w:t xml:space="preserve">acción o reacción policiaca ante algún suceso </w:t>
      </w:r>
      <w:r w:rsidR="00070E21">
        <w:rPr>
          <w:rFonts w:ascii="Palatino Linotype" w:hAnsi="Palatino Linotype" w:cs="Arial"/>
          <w:sz w:val="24"/>
          <w:szCs w:val="24"/>
        </w:rPr>
        <w:t>delictivo</w:t>
      </w:r>
      <w:r>
        <w:rPr>
          <w:rFonts w:ascii="Palatino Linotype" w:hAnsi="Palatino Linotype" w:cs="Arial"/>
          <w:sz w:val="24"/>
          <w:szCs w:val="24"/>
        </w:rPr>
        <w:t xml:space="preserve">, ya que es únicamente señalar </w:t>
      </w:r>
      <w:r w:rsidR="00070E21">
        <w:rPr>
          <w:rFonts w:ascii="Palatino Linotype" w:hAnsi="Palatino Linotype" w:cs="Arial"/>
          <w:sz w:val="24"/>
          <w:szCs w:val="24"/>
        </w:rPr>
        <w:t xml:space="preserve">los cuadrantes que conforman el Municipio. </w:t>
      </w:r>
    </w:p>
    <w:p w:rsidR="00070E21" w:rsidRPr="00070E21" w:rsidRDefault="00070E21" w:rsidP="00070E21">
      <w:pPr>
        <w:pStyle w:val="Prrafodelista"/>
        <w:rPr>
          <w:rFonts w:ascii="Palatino Linotype" w:hAnsi="Palatino Linotype" w:cs="Arial"/>
          <w:sz w:val="24"/>
          <w:szCs w:val="24"/>
        </w:rPr>
      </w:pPr>
    </w:p>
    <w:p w:rsidR="00EF3EFD" w:rsidRPr="00EF3EFD" w:rsidRDefault="00070E21" w:rsidP="00EF3EFD">
      <w:pPr>
        <w:pStyle w:val="Prrafodelista"/>
        <w:numPr>
          <w:ilvl w:val="0"/>
          <w:numId w:val="1"/>
        </w:numPr>
        <w:spacing w:after="0" w:line="360" w:lineRule="auto"/>
        <w:ind w:left="0" w:right="-93" w:firstLine="0"/>
        <w:jc w:val="both"/>
        <w:rPr>
          <w:rFonts w:ascii="Palatino Linotype" w:hAnsi="Palatino Linotype" w:cs="Arial"/>
          <w:sz w:val="24"/>
          <w:szCs w:val="24"/>
        </w:rPr>
      </w:pPr>
      <w:r>
        <w:rPr>
          <w:rFonts w:ascii="Palatino Linotype" w:hAnsi="Palatino Linotype" w:cs="Arial"/>
          <w:sz w:val="24"/>
          <w:szCs w:val="24"/>
        </w:rPr>
        <w:t xml:space="preserve">Así pues, mi voto deriva en que se debió de haber ordenado el documento o los documentos donde conste la información correspondiente </w:t>
      </w:r>
      <w:r w:rsidR="00EF3EFD">
        <w:rPr>
          <w:rFonts w:ascii="Palatino Linotype" w:hAnsi="Palatino Linotype" w:cs="Arial"/>
          <w:sz w:val="24"/>
          <w:szCs w:val="24"/>
        </w:rPr>
        <w:t xml:space="preserve">a la </w:t>
      </w:r>
      <w:r w:rsidR="006A7892" w:rsidRPr="00EF3EFD">
        <w:rPr>
          <w:rFonts w:ascii="Palatino Linotype" w:hAnsi="Palatino Linotype" w:cs="Arial"/>
          <w:sz w:val="24"/>
          <w:szCs w:val="24"/>
        </w:rPr>
        <w:t xml:space="preserve">manera en que se encuentra dividido el </w:t>
      </w:r>
      <w:r w:rsidR="00EF3EFD" w:rsidRPr="00EF3EFD">
        <w:rPr>
          <w:rFonts w:ascii="Palatino Linotype" w:hAnsi="Palatino Linotype" w:cs="Arial"/>
          <w:sz w:val="24"/>
          <w:szCs w:val="24"/>
        </w:rPr>
        <w:t>Municipio</w:t>
      </w:r>
      <w:r w:rsidR="00EF3EFD">
        <w:rPr>
          <w:rFonts w:ascii="Palatino Linotype" w:hAnsi="Palatino Linotype" w:cs="Arial"/>
          <w:sz w:val="24"/>
          <w:szCs w:val="24"/>
        </w:rPr>
        <w:t xml:space="preserve"> de Lerma </w:t>
      </w:r>
      <w:r w:rsidR="006A7892" w:rsidRPr="00EF3EFD">
        <w:rPr>
          <w:rFonts w:ascii="Palatino Linotype" w:hAnsi="Palatino Linotype" w:cs="Arial"/>
          <w:sz w:val="24"/>
          <w:szCs w:val="24"/>
        </w:rPr>
        <w:t xml:space="preserve"> (cuadrantes) para que la policía</w:t>
      </w:r>
      <w:r w:rsidR="00EF3EFD">
        <w:rPr>
          <w:rFonts w:ascii="Palatino Linotype" w:hAnsi="Palatino Linotype" w:cs="Arial"/>
          <w:sz w:val="24"/>
          <w:szCs w:val="24"/>
        </w:rPr>
        <w:t xml:space="preserve"> municipal ejerza sus funciones; pues como ya se señaló, no afectaría ni vulneraria el ejercicio de las funciones de la policía </w:t>
      </w:r>
      <w:r w:rsidR="006E053F">
        <w:rPr>
          <w:rFonts w:ascii="Palatino Linotype" w:hAnsi="Palatino Linotype" w:cs="Arial"/>
          <w:sz w:val="24"/>
          <w:szCs w:val="24"/>
        </w:rPr>
        <w:t>municipal</w:t>
      </w:r>
      <w:r w:rsidR="00EF3EFD">
        <w:rPr>
          <w:rFonts w:ascii="Palatino Linotype" w:hAnsi="Palatino Linotype" w:cs="Arial"/>
          <w:sz w:val="24"/>
          <w:szCs w:val="24"/>
        </w:rPr>
        <w:t xml:space="preserve">. </w:t>
      </w:r>
    </w:p>
    <w:p w:rsidR="006A7892" w:rsidRDefault="006A7892" w:rsidP="006A7892">
      <w:pPr>
        <w:pStyle w:val="Prrafodelista"/>
        <w:spacing w:after="0" w:line="360" w:lineRule="auto"/>
        <w:ind w:left="0" w:right="-93"/>
        <w:jc w:val="both"/>
        <w:rPr>
          <w:rFonts w:ascii="Palatino Linotype" w:hAnsi="Palatino Linotype"/>
        </w:rPr>
      </w:pPr>
    </w:p>
    <w:p w:rsidR="00166140" w:rsidRDefault="00166140" w:rsidP="00702BD9">
      <w:pPr>
        <w:pStyle w:val="Prrafodelista"/>
        <w:spacing w:after="0" w:line="360" w:lineRule="auto"/>
        <w:ind w:left="426"/>
        <w:jc w:val="both"/>
        <w:rPr>
          <w:rFonts w:ascii="Palatino Linotype" w:hAnsi="Palatino Linotype" w:cs="Arial"/>
          <w:sz w:val="24"/>
          <w:szCs w:val="24"/>
        </w:rPr>
      </w:pPr>
    </w:p>
    <w:p w:rsidR="006E053F" w:rsidRDefault="006E053F" w:rsidP="00702BD9">
      <w:pPr>
        <w:pStyle w:val="Prrafodelista"/>
        <w:spacing w:after="0" w:line="360" w:lineRule="auto"/>
        <w:ind w:left="426"/>
        <w:jc w:val="both"/>
        <w:rPr>
          <w:rFonts w:ascii="Palatino Linotype" w:hAnsi="Palatino Linotype" w:cs="Arial"/>
          <w:sz w:val="24"/>
          <w:szCs w:val="24"/>
        </w:rPr>
      </w:pPr>
    </w:p>
    <w:p w:rsidR="006E053F" w:rsidRDefault="006E053F" w:rsidP="00702BD9">
      <w:pPr>
        <w:pStyle w:val="Prrafodelista"/>
        <w:spacing w:after="0" w:line="360" w:lineRule="auto"/>
        <w:ind w:left="426"/>
        <w:jc w:val="both"/>
        <w:rPr>
          <w:rFonts w:ascii="Palatino Linotype" w:hAnsi="Palatino Linotype" w:cs="Arial"/>
          <w:sz w:val="24"/>
          <w:szCs w:val="24"/>
        </w:rPr>
      </w:pPr>
    </w:p>
    <w:p w:rsidR="00166140" w:rsidRPr="00072966" w:rsidRDefault="00166140" w:rsidP="00702BD9">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Sinespaciado"/>
        <w:spacing w:line="360" w:lineRule="auto"/>
        <w:jc w:val="center"/>
        <w:rPr>
          <w:rFonts w:ascii="Palatino Linotype" w:hAnsi="Palatino Linotype"/>
          <w:b/>
          <w:sz w:val="24"/>
          <w:szCs w:val="24"/>
        </w:rPr>
      </w:pPr>
      <w:r w:rsidRPr="00072966">
        <w:rPr>
          <w:rFonts w:ascii="Palatino Linotype" w:hAnsi="Palatino Linotype"/>
          <w:b/>
          <w:sz w:val="24"/>
          <w:szCs w:val="24"/>
        </w:rPr>
        <w:t>JOSÉ GUADALUPE LUNA HERNÁNDEZ</w:t>
      </w:r>
    </w:p>
    <w:p w:rsidR="0046491C" w:rsidRDefault="0046491C" w:rsidP="00E34F08">
      <w:pPr>
        <w:spacing w:line="360" w:lineRule="auto"/>
        <w:jc w:val="center"/>
        <w:rPr>
          <w:rFonts w:ascii="Palatino Linotype" w:hAnsi="Palatino Linotype"/>
          <w:b/>
          <w:sz w:val="24"/>
          <w:szCs w:val="24"/>
        </w:rPr>
      </w:pPr>
      <w:r w:rsidRPr="00072966">
        <w:rPr>
          <w:rFonts w:ascii="Palatino Linotype" w:hAnsi="Palatino Linotype"/>
          <w:b/>
          <w:sz w:val="24"/>
          <w:szCs w:val="24"/>
        </w:rPr>
        <w:t>COMISIONADO</w:t>
      </w:r>
    </w:p>
    <w:p w:rsidR="00166140" w:rsidRDefault="00166140" w:rsidP="00E34F08">
      <w:pPr>
        <w:spacing w:line="360" w:lineRule="auto"/>
        <w:jc w:val="center"/>
        <w:rPr>
          <w:rFonts w:ascii="Palatino Linotype" w:hAnsi="Palatino Linotype"/>
          <w:b/>
          <w:sz w:val="24"/>
          <w:szCs w:val="24"/>
        </w:rPr>
      </w:pPr>
    </w:p>
    <w:p w:rsidR="00874AED" w:rsidRDefault="00874AED" w:rsidP="00E34F08">
      <w:pPr>
        <w:spacing w:line="360" w:lineRule="auto"/>
        <w:jc w:val="center"/>
        <w:rPr>
          <w:rFonts w:ascii="Palatino Linotype" w:hAnsi="Palatino Linotype"/>
          <w:b/>
          <w:sz w:val="24"/>
          <w:szCs w:val="24"/>
        </w:rPr>
      </w:pPr>
    </w:p>
    <w:p w:rsidR="00D04845" w:rsidRDefault="00D04845" w:rsidP="00E34F08">
      <w:pPr>
        <w:spacing w:line="360" w:lineRule="auto"/>
        <w:jc w:val="center"/>
        <w:rPr>
          <w:rFonts w:ascii="Palatino Linotype" w:hAnsi="Palatino Linotype"/>
          <w:b/>
          <w:sz w:val="24"/>
          <w:szCs w:val="24"/>
        </w:rPr>
      </w:pPr>
    </w:p>
    <w:p w:rsidR="00166140" w:rsidRPr="00072966" w:rsidRDefault="00166140" w:rsidP="00E34F08">
      <w:pPr>
        <w:spacing w:line="360" w:lineRule="auto"/>
        <w:jc w:val="center"/>
        <w:rPr>
          <w:rFonts w:ascii="Palatino Linotype" w:hAnsi="Palatino Linotype"/>
          <w:b/>
          <w:sz w:val="24"/>
          <w:szCs w:val="24"/>
        </w:rPr>
      </w:pPr>
    </w:p>
    <w:p w:rsidR="00575478" w:rsidRPr="00166140" w:rsidRDefault="006A7892" w:rsidP="00575478">
      <w:pPr>
        <w:spacing w:line="360" w:lineRule="auto"/>
        <w:rPr>
          <w:rFonts w:ascii="Palatino Linotype" w:hAnsi="Palatino Linotype"/>
          <w:b/>
          <w:sz w:val="18"/>
          <w:szCs w:val="18"/>
        </w:rPr>
      </w:pPr>
      <w:r>
        <w:rPr>
          <w:rFonts w:ascii="Palatino Linotype" w:hAnsi="Palatino Linotype"/>
          <w:b/>
          <w:sz w:val="18"/>
          <w:szCs w:val="18"/>
        </w:rPr>
        <w:t>JGLH/MAG</w:t>
      </w:r>
    </w:p>
    <w:sectPr w:rsidR="00575478" w:rsidRPr="00166140" w:rsidSect="00DD7431">
      <w:headerReference w:type="even" r:id="rId9"/>
      <w:headerReference w:type="default" r:id="rId10"/>
      <w:footerReference w:type="even" r:id="rId11"/>
      <w:footerReference w:type="default" r:id="rId12"/>
      <w:headerReference w:type="first" r:id="rId13"/>
      <w:footerReference w:type="first" r:id="rId14"/>
      <w:pgSz w:w="12240" w:h="15840" w:code="1"/>
      <w:pgMar w:top="2438"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E64" w:rsidRDefault="00367E64" w:rsidP="00E706DA">
      <w:pPr>
        <w:spacing w:after="0" w:line="240" w:lineRule="auto"/>
      </w:pPr>
      <w:r>
        <w:separator/>
      </w:r>
    </w:p>
  </w:endnote>
  <w:endnote w:type="continuationSeparator" w:id="0">
    <w:p w:rsidR="00367E64" w:rsidRDefault="00367E64"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3E3C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3E3CF0">
              <w:rPr>
                <w:rFonts w:ascii="Palatino Linotype" w:hAnsi="Palatino Linotype"/>
                <w:b/>
                <w:bCs/>
                <w:noProof/>
                <w:sz w:val="20"/>
                <w:szCs w:val="20"/>
              </w:rPr>
              <w:t>1</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3E3CF0">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3E3CF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3E3C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E64" w:rsidRDefault="00367E64" w:rsidP="00E706DA">
      <w:pPr>
        <w:spacing w:after="0" w:line="240" w:lineRule="auto"/>
      </w:pPr>
      <w:r>
        <w:separator/>
      </w:r>
    </w:p>
  </w:footnote>
  <w:footnote w:type="continuationSeparator" w:id="0">
    <w:p w:rsidR="00367E64" w:rsidRDefault="00367E64" w:rsidP="00E706DA">
      <w:pPr>
        <w:spacing w:after="0" w:line="240" w:lineRule="auto"/>
      </w:pPr>
      <w:r>
        <w:continuationSeparator/>
      </w:r>
    </w:p>
  </w:footnote>
  <w:footnote w:id="1">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2">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3">
    <w:p w:rsidR="00194541" w:rsidRDefault="00194541">
      <w:pPr>
        <w:pStyle w:val="Textonotapie"/>
      </w:pPr>
      <w:r>
        <w:rPr>
          <w:rStyle w:val="Refdenotaalpie"/>
        </w:rPr>
        <w:footnoteRef/>
      </w:r>
      <w:r>
        <w:t xml:space="preserve"> Consultable en: </w:t>
      </w:r>
      <w:hyperlink r:id="rId1" w:history="1">
        <w:r w:rsidRPr="00600072">
          <w:rPr>
            <w:rStyle w:val="Hipervnculo"/>
          </w:rPr>
          <w:t>https://www.ipomex.org.mx/ipo3/lgt/indice/LERMA/art_92_i/0/0/12.web</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E3CF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E3CF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3E3CF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E3CF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3656"/>
    <w:multiLevelType w:val="hybridMultilevel"/>
    <w:tmpl w:val="64B28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85593A"/>
    <w:multiLevelType w:val="hybridMultilevel"/>
    <w:tmpl w:val="1AD4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0F83DE6"/>
    <w:multiLevelType w:val="hybridMultilevel"/>
    <w:tmpl w:val="C1B2697C"/>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nsid w:val="1FFA6731"/>
    <w:multiLevelType w:val="hybridMultilevel"/>
    <w:tmpl w:val="2B28E20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4DC255E"/>
    <w:multiLevelType w:val="hybridMultilevel"/>
    <w:tmpl w:val="78BEB39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nsid w:val="403E5810"/>
    <w:multiLevelType w:val="hybridMultilevel"/>
    <w:tmpl w:val="78A241F8"/>
    <w:lvl w:ilvl="0" w:tplc="CACA3A86">
      <w:start w:val="1"/>
      <w:numFmt w:val="upperRoman"/>
      <w:lvlText w:val="%1."/>
      <w:lvlJc w:val="left"/>
      <w:pPr>
        <w:ind w:left="1080" w:hanging="720"/>
      </w:pPr>
      <w:rPr>
        <w:rFonts w:hint="default"/>
      </w:rPr>
    </w:lvl>
    <w:lvl w:ilvl="1" w:tplc="5158227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3072BE"/>
    <w:multiLevelType w:val="hybridMultilevel"/>
    <w:tmpl w:val="79D0AE8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ABA140E"/>
    <w:multiLevelType w:val="hybridMultilevel"/>
    <w:tmpl w:val="17F4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5EB22D0C"/>
    <w:multiLevelType w:val="hybridMultilevel"/>
    <w:tmpl w:val="8252EB20"/>
    <w:lvl w:ilvl="0" w:tplc="CE506CE6">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69147BFF"/>
    <w:multiLevelType w:val="hybridMultilevel"/>
    <w:tmpl w:val="8AA458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DA239B5"/>
    <w:multiLevelType w:val="hybridMultilevel"/>
    <w:tmpl w:val="38A6C9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4B0548D"/>
    <w:multiLevelType w:val="hybridMultilevel"/>
    <w:tmpl w:val="78A241F8"/>
    <w:lvl w:ilvl="0" w:tplc="CACA3A86">
      <w:start w:val="1"/>
      <w:numFmt w:val="upperRoman"/>
      <w:lvlText w:val="%1."/>
      <w:lvlJc w:val="left"/>
      <w:pPr>
        <w:ind w:left="1080" w:hanging="720"/>
      </w:pPr>
      <w:rPr>
        <w:rFonts w:hint="default"/>
      </w:rPr>
    </w:lvl>
    <w:lvl w:ilvl="1" w:tplc="5158227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
  </w:num>
  <w:num w:numId="3">
    <w:abstractNumId w:val="8"/>
  </w:num>
  <w:num w:numId="4">
    <w:abstractNumId w:val="13"/>
  </w:num>
  <w:num w:numId="5">
    <w:abstractNumId w:val="15"/>
  </w:num>
  <w:num w:numId="6">
    <w:abstractNumId w:val="17"/>
  </w:num>
  <w:num w:numId="7">
    <w:abstractNumId w:val="23"/>
  </w:num>
  <w:num w:numId="8">
    <w:abstractNumId w:val="20"/>
  </w:num>
  <w:num w:numId="9">
    <w:abstractNumId w:val="27"/>
  </w:num>
  <w:num w:numId="10">
    <w:abstractNumId w:val="3"/>
  </w:num>
  <w:num w:numId="11">
    <w:abstractNumId w:val="25"/>
  </w:num>
  <w:num w:numId="12">
    <w:abstractNumId w:val="11"/>
  </w:num>
  <w:num w:numId="13">
    <w:abstractNumId w:val="5"/>
  </w:num>
  <w:num w:numId="14">
    <w:abstractNumId w:val="7"/>
  </w:num>
  <w:num w:numId="15">
    <w:abstractNumId w:val="18"/>
  </w:num>
  <w:num w:numId="16">
    <w:abstractNumId w:val="1"/>
  </w:num>
  <w:num w:numId="17">
    <w:abstractNumId w:val="0"/>
  </w:num>
  <w:num w:numId="18">
    <w:abstractNumId w:val="14"/>
  </w:num>
  <w:num w:numId="19">
    <w:abstractNumId w:val="6"/>
  </w:num>
  <w:num w:numId="20">
    <w:abstractNumId w:val="22"/>
  </w:num>
  <w:num w:numId="21">
    <w:abstractNumId w:val="24"/>
  </w:num>
  <w:num w:numId="22">
    <w:abstractNumId w:val="19"/>
  </w:num>
  <w:num w:numId="23">
    <w:abstractNumId w:val="10"/>
  </w:num>
  <w:num w:numId="24">
    <w:abstractNumId w:val="26"/>
  </w:num>
  <w:num w:numId="25">
    <w:abstractNumId w:val="21"/>
  </w:num>
  <w:num w:numId="26">
    <w:abstractNumId w:val="4"/>
  </w:num>
  <w:num w:numId="27">
    <w:abstractNumId w:val="1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4FF3"/>
    <w:rsid w:val="0000525F"/>
    <w:rsid w:val="0001046D"/>
    <w:rsid w:val="00016A9F"/>
    <w:rsid w:val="00043805"/>
    <w:rsid w:val="0005558D"/>
    <w:rsid w:val="00070E21"/>
    <w:rsid w:val="00072966"/>
    <w:rsid w:val="00073F0D"/>
    <w:rsid w:val="00085188"/>
    <w:rsid w:val="000951B4"/>
    <w:rsid w:val="000A4B02"/>
    <w:rsid w:val="000A77B5"/>
    <w:rsid w:val="000A7B66"/>
    <w:rsid w:val="000D1743"/>
    <w:rsid w:val="000D7928"/>
    <w:rsid w:val="000F6CBB"/>
    <w:rsid w:val="000F7162"/>
    <w:rsid w:val="0010615C"/>
    <w:rsid w:val="001102C3"/>
    <w:rsid w:val="00122625"/>
    <w:rsid w:val="001574EC"/>
    <w:rsid w:val="00166140"/>
    <w:rsid w:val="00194541"/>
    <w:rsid w:val="00194B6A"/>
    <w:rsid w:val="001A51F3"/>
    <w:rsid w:val="001C545F"/>
    <w:rsid w:val="001C62B2"/>
    <w:rsid w:val="001D3F34"/>
    <w:rsid w:val="001E0928"/>
    <w:rsid w:val="0020315F"/>
    <w:rsid w:val="002036ED"/>
    <w:rsid w:val="00214EC5"/>
    <w:rsid w:val="00225026"/>
    <w:rsid w:val="00242A80"/>
    <w:rsid w:val="00260D6C"/>
    <w:rsid w:val="002620E9"/>
    <w:rsid w:val="00281310"/>
    <w:rsid w:val="002C1F75"/>
    <w:rsid w:val="002D6857"/>
    <w:rsid w:val="002D7B65"/>
    <w:rsid w:val="002E1956"/>
    <w:rsid w:val="00327BA7"/>
    <w:rsid w:val="00333DB9"/>
    <w:rsid w:val="00343601"/>
    <w:rsid w:val="00346358"/>
    <w:rsid w:val="00346DBD"/>
    <w:rsid w:val="00347624"/>
    <w:rsid w:val="00357936"/>
    <w:rsid w:val="00367E00"/>
    <w:rsid w:val="00367E64"/>
    <w:rsid w:val="003705BB"/>
    <w:rsid w:val="003747A5"/>
    <w:rsid w:val="00386688"/>
    <w:rsid w:val="00393E96"/>
    <w:rsid w:val="003C4176"/>
    <w:rsid w:val="003C4F79"/>
    <w:rsid w:val="003D7B9E"/>
    <w:rsid w:val="003E3055"/>
    <w:rsid w:val="003E3CF0"/>
    <w:rsid w:val="00412952"/>
    <w:rsid w:val="00424DE3"/>
    <w:rsid w:val="00444048"/>
    <w:rsid w:val="00452F18"/>
    <w:rsid w:val="0046491C"/>
    <w:rsid w:val="00471ACB"/>
    <w:rsid w:val="0048490F"/>
    <w:rsid w:val="004C6BBF"/>
    <w:rsid w:val="00525DF2"/>
    <w:rsid w:val="00532410"/>
    <w:rsid w:val="00562637"/>
    <w:rsid w:val="00575478"/>
    <w:rsid w:val="005A3267"/>
    <w:rsid w:val="005D4F74"/>
    <w:rsid w:val="005F6A90"/>
    <w:rsid w:val="00634736"/>
    <w:rsid w:val="00643C7E"/>
    <w:rsid w:val="006728FD"/>
    <w:rsid w:val="006814FB"/>
    <w:rsid w:val="0069498B"/>
    <w:rsid w:val="006A7892"/>
    <w:rsid w:val="006D268B"/>
    <w:rsid w:val="006E053F"/>
    <w:rsid w:val="006F419D"/>
    <w:rsid w:val="00702BD9"/>
    <w:rsid w:val="0071343D"/>
    <w:rsid w:val="00717C0D"/>
    <w:rsid w:val="0072136B"/>
    <w:rsid w:val="0076241F"/>
    <w:rsid w:val="00770016"/>
    <w:rsid w:val="00776827"/>
    <w:rsid w:val="00790E37"/>
    <w:rsid w:val="007A7FAD"/>
    <w:rsid w:val="007C43FB"/>
    <w:rsid w:val="007D1488"/>
    <w:rsid w:val="007E4506"/>
    <w:rsid w:val="00814E97"/>
    <w:rsid w:val="00817341"/>
    <w:rsid w:val="0082452E"/>
    <w:rsid w:val="008361CA"/>
    <w:rsid w:val="0084393B"/>
    <w:rsid w:val="008460C4"/>
    <w:rsid w:val="00847389"/>
    <w:rsid w:val="00850252"/>
    <w:rsid w:val="00856FA1"/>
    <w:rsid w:val="008702E8"/>
    <w:rsid w:val="00874AED"/>
    <w:rsid w:val="008822B3"/>
    <w:rsid w:val="008858F1"/>
    <w:rsid w:val="008911CF"/>
    <w:rsid w:val="008977B4"/>
    <w:rsid w:val="008B03B6"/>
    <w:rsid w:val="008E1DCC"/>
    <w:rsid w:val="008F3E81"/>
    <w:rsid w:val="00900E75"/>
    <w:rsid w:val="00902248"/>
    <w:rsid w:val="0091008E"/>
    <w:rsid w:val="009103FD"/>
    <w:rsid w:val="009156AC"/>
    <w:rsid w:val="00923FD9"/>
    <w:rsid w:val="00927C4F"/>
    <w:rsid w:val="00937AD9"/>
    <w:rsid w:val="00937D7D"/>
    <w:rsid w:val="0094239C"/>
    <w:rsid w:val="00950792"/>
    <w:rsid w:val="0099266A"/>
    <w:rsid w:val="009A3355"/>
    <w:rsid w:val="009A5396"/>
    <w:rsid w:val="009A640A"/>
    <w:rsid w:val="009C4EF6"/>
    <w:rsid w:val="009D2892"/>
    <w:rsid w:val="009E334C"/>
    <w:rsid w:val="009E3A26"/>
    <w:rsid w:val="009E631F"/>
    <w:rsid w:val="00A043A9"/>
    <w:rsid w:val="00A21EA1"/>
    <w:rsid w:val="00A342EF"/>
    <w:rsid w:val="00A626F8"/>
    <w:rsid w:val="00A63717"/>
    <w:rsid w:val="00A63E87"/>
    <w:rsid w:val="00AA49F3"/>
    <w:rsid w:val="00AB023D"/>
    <w:rsid w:val="00AB126B"/>
    <w:rsid w:val="00AC381E"/>
    <w:rsid w:val="00AC7AA7"/>
    <w:rsid w:val="00AE4797"/>
    <w:rsid w:val="00AE5BD5"/>
    <w:rsid w:val="00AF6BE0"/>
    <w:rsid w:val="00B120CA"/>
    <w:rsid w:val="00B62245"/>
    <w:rsid w:val="00B8686D"/>
    <w:rsid w:val="00B951FF"/>
    <w:rsid w:val="00BA337F"/>
    <w:rsid w:val="00BC7B0C"/>
    <w:rsid w:val="00BF2070"/>
    <w:rsid w:val="00BF3534"/>
    <w:rsid w:val="00C05845"/>
    <w:rsid w:val="00C3709F"/>
    <w:rsid w:val="00C41CE1"/>
    <w:rsid w:val="00C7250F"/>
    <w:rsid w:val="00C872FA"/>
    <w:rsid w:val="00C901A6"/>
    <w:rsid w:val="00CE0823"/>
    <w:rsid w:val="00CF2F92"/>
    <w:rsid w:val="00CF52FE"/>
    <w:rsid w:val="00D04845"/>
    <w:rsid w:val="00D1242B"/>
    <w:rsid w:val="00D15396"/>
    <w:rsid w:val="00D23B79"/>
    <w:rsid w:val="00D33AF9"/>
    <w:rsid w:val="00D363F7"/>
    <w:rsid w:val="00D5296C"/>
    <w:rsid w:val="00D72985"/>
    <w:rsid w:val="00D7508B"/>
    <w:rsid w:val="00D75099"/>
    <w:rsid w:val="00DB7D4E"/>
    <w:rsid w:val="00DD7431"/>
    <w:rsid w:val="00DE5DF2"/>
    <w:rsid w:val="00DF6F7E"/>
    <w:rsid w:val="00E259A9"/>
    <w:rsid w:val="00E34F08"/>
    <w:rsid w:val="00E61AB8"/>
    <w:rsid w:val="00E706DA"/>
    <w:rsid w:val="00E83E93"/>
    <w:rsid w:val="00E90EB5"/>
    <w:rsid w:val="00E94FBF"/>
    <w:rsid w:val="00EF0C2D"/>
    <w:rsid w:val="00EF3EFD"/>
    <w:rsid w:val="00F45161"/>
    <w:rsid w:val="00F46E78"/>
    <w:rsid w:val="00F5642A"/>
    <w:rsid w:val="00F747F8"/>
    <w:rsid w:val="00F857BC"/>
    <w:rsid w:val="00FC5012"/>
    <w:rsid w:val="00FE6326"/>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166140"/>
    <w:pPr>
      <w:tabs>
        <w:tab w:val="left" w:pos="440"/>
        <w:tab w:val="right" w:leader="dot" w:pos="8828"/>
      </w:tabs>
      <w:spacing w:after="100" w:line="48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
    <w:link w:val="Sinespaciado"/>
    <w:uiPriority w:val="1"/>
    <w:locked/>
    <w:rsid w:val="000D7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6627729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LERMA/art_92_i/0/0/12.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7E085-ED4D-4FF9-AB4B-F0A87189D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3086</Words>
  <Characters>16979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2019-01-21T17:10:00Z</cp:lastPrinted>
  <dcterms:created xsi:type="dcterms:W3CDTF">2019-03-29T18:43:00Z</dcterms:created>
  <dcterms:modified xsi:type="dcterms:W3CDTF">2019-03-29T18:43:00Z</dcterms:modified>
</cp:coreProperties>
</file>